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7088C">
      <w:pPr>
        <w:keepNext w:val="0"/>
        <w:keepLines w:val="0"/>
        <w:pageBreakBefore w:val="0"/>
        <w:kinsoku/>
        <w:wordWrap/>
        <w:overflowPunct/>
        <w:topLinePunct w:val="0"/>
        <w:autoSpaceDE/>
        <w:autoSpaceDN/>
        <w:bidi w:val="0"/>
        <w:spacing w:line="560" w:lineRule="exac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p>
    <w:p w14:paraId="0DCA0FC0">
      <w:pPr>
        <w:keepNext w:val="0"/>
        <w:keepLines w:val="0"/>
        <w:pageBreakBefore w:val="0"/>
        <w:kinsoku/>
        <w:wordWrap/>
        <w:overflowPunct/>
        <w:topLinePunct w:val="0"/>
        <w:autoSpaceDE/>
        <w:autoSpaceDN/>
        <w:bidi w:val="0"/>
        <w:spacing w:line="560" w:lineRule="exact"/>
        <w:textAlignment w:val="auto"/>
        <w:rPr>
          <w:rFonts w:hint="eastAsia" w:ascii="华文仿宋" w:hAnsi="华文仿宋" w:eastAsia="华文仿宋" w:cs="华文仿宋"/>
          <w:sz w:val="32"/>
          <w:szCs w:val="32"/>
        </w:rPr>
      </w:pPr>
    </w:p>
    <w:p w14:paraId="5E93C534">
      <w:pPr>
        <w:keepNext w:val="0"/>
        <w:keepLines w:val="0"/>
        <w:pageBreakBefore w:val="0"/>
        <w:kinsoku/>
        <w:wordWrap/>
        <w:overflowPunct/>
        <w:topLinePunct w:val="0"/>
        <w:autoSpaceDE/>
        <w:autoSpaceDN/>
        <w:bidi w:val="0"/>
        <w:spacing w:line="560" w:lineRule="exact"/>
        <w:jc w:val="center"/>
        <w:textAlignment w:val="auto"/>
        <w:rPr>
          <w:rFonts w:hint="eastAsia" w:ascii="华文仿宋" w:hAnsi="华文仿宋" w:eastAsia="华文仿宋" w:cs="华文仿宋"/>
          <w:b/>
          <w:bCs/>
          <w:sz w:val="44"/>
          <w:szCs w:val="44"/>
        </w:rPr>
      </w:pPr>
      <w:bookmarkStart w:id="0" w:name="_GoBack"/>
      <w:r>
        <w:rPr>
          <w:rFonts w:hint="eastAsia" w:ascii="华文仿宋" w:hAnsi="华文仿宋" w:eastAsia="华文仿宋" w:cs="华文仿宋"/>
          <w:b/>
          <w:bCs/>
          <w:sz w:val="44"/>
          <w:szCs w:val="44"/>
        </w:rPr>
        <w:t>202</w:t>
      </w:r>
      <w:r>
        <w:rPr>
          <w:rFonts w:hint="eastAsia" w:ascii="华文仿宋" w:hAnsi="华文仿宋" w:eastAsia="华文仿宋" w:cs="华文仿宋"/>
          <w:b/>
          <w:bCs/>
          <w:sz w:val="44"/>
          <w:szCs w:val="44"/>
          <w:lang w:val="en-US" w:eastAsia="zh-CN"/>
        </w:rPr>
        <w:t>5</w:t>
      </w:r>
      <w:r>
        <w:rPr>
          <w:rFonts w:hint="eastAsia" w:ascii="华文仿宋" w:hAnsi="华文仿宋" w:eastAsia="华文仿宋" w:cs="华文仿宋"/>
          <w:b/>
          <w:bCs/>
          <w:sz w:val="44"/>
          <w:szCs w:val="44"/>
        </w:rPr>
        <w:t>年阳泉市科技计划项目指南</w:t>
      </w:r>
      <w:bookmarkEnd w:id="0"/>
    </w:p>
    <w:p w14:paraId="2D190331">
      <w:pPr>
        <w:keepNext w:val="0"/>
        <w:keepLines w:val="0"/>
        <w:pageBreakBefore w:val="0"/>
        <w:kinsoku/>
        <w:wordWrap/>
        <w:overflowPunct/>
        <w:topLinePunct w:val="0"/>
        <w:autoSpaceDE/>
        <w:autoSpaceDN/>
        <w:bidi w:val="0"/>
        <w:spacing w:line="560" w:lineRule="exact"/>
        <w:textAlignment w:val="auto"/>
        <w:rPr>
          <w:rFonts w:hint="eastAsia" w:ascii="华文仿宋" w:hAnsi="华文仿宋" w:eastAsia="华文仿宋" w:cs="华文仿宋"/>
          <w:sz w:val="32"/>
          <w:szCs w:val="32"/>
        </w:rPr>
      </w:pPr>
    </w:p>
    <w:p w14:paraId="12D21EB5">
      <w:pPr>
        <w:keepNext w:val="0"/>
        <w:keepLines w:val="0"/>
        <w:pageBreakBefore w:val="0"/>
        <w:kinsoku/>
        <w:wordWrap/>
        <w:overflowPunct/>
        <w:topLinePunct w:val="0"/>
        <w:autoSpaceDE/>
        <w:autoSpaceDN/>
        <w:bidi w:val="0"/>
        <w:spacing w:line="560" w:lineRule="exact"/>
        <w:textAlignment w:val="auto"/>
        <w:rPr>
          <w:rFonts w:hint="eastAsia" w:ascii="华文仿宋" w:hAnsi="华文仿宋" w:eastAsia="华文仿宋" w:cs="华文仿宋"/>
          <w:sz w:val="32"/>
          <w:szCs w:val="32"/>
        </w:rPr>
      </w:pPr>
    </w:p>
    <w:p w14:paraId="2EEE706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一、工业领域</w:t>
      </w:r>
    </w:p>
    <w:p w14:paraId="5168438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楷体" w:hAnsi="华文楷体" w:eastAsia="华文楷体" w:cs="华文楷体"/>
          <w:sz w:val="32"/>
          <w:szCs w:val="32"/>
        </w:rPr>
        <w:t>（一）</w:t>
      </w:r>
      <w:r>
        <w:rPr>
          <w:rFonts w:hint="eastAsia" w:ascii="华文楷体" w:hAnsi="华文楷体" w:eastAsia="华文楷体" w:cs="华文楷体"/>
          <w:sz w:val="32"/>
          <w:szCs w:val="32"/>
          <w:lang w:eastAsia="zh-CN"/>
        </w:rPr>
        <w:t>传统产业</w:t>
      </w:r>
      <w:r>
        <w:rPr>
          <w:rFonts w:hint="eastAsia" w:ascii="华文楷体" w:hAnsi="华文楷体" w:eastAsia="华文楷体" w:cs="华文楷体"/>
          <w:sz w:val="32"/>
          <w:szCs w:val="32"/>
        </w:rPr>
        <w:t>方面</w:t>
      </w:r>
    </w:p>
    <w:p w14:paraId="1FE8E22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）深入落实能源革命综合改革试点任务，加快构建新型能源体系。</w:t>
      </w:r>
    </w:p>
    <w:p w14:paraId="42CDFBF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支持煤矿智能化数字化领域关键技术研发和转化应用；支持煤机装备产业聚焦“配件—系统总成—综采设备—智慧矿山应用”开展关键技术研发和成果转化</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支持开展煤炭绿色安全开采和清洁高效利用等领域关键技术研发。</w:t>
      </w:r>
    </w:p>
    <w:p w14:paraId="50A0791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支持构建新型电力系统相关技术的研究；支持化学储能、分布式能源、智能微网等领域关键技术研发和转化应用。​</w:t>
      </w:r>
      <w:r>
        <w:rPr>
          <w:rFonts w:hint="eastAsia" w:ascii="华文仿宋" w:hAnsi="华文仿宋" w:eastAsia="华文仿宋" w:cs="华文仿宋"/>
          <w:sz w:val="32"/>
          <w:szCs w:val="32"/>
          <w:lang w:val="en-US" w:eastAsia="zh-CN"/>
        </w:rPr>
        <w:t xml:space="preserve">  </w:t>
      </w:r>
    </w:p>
    <w:p w14:paraId="5E39705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（4）支持太阳能、风能、氢能、生物质能等可再生能源利用技术研发和转化应用。</w:t>
      </w:r>
    </w:p>
    <w:p w14:paraId="4E625DF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w:t>
      </w:r>
      <w:r>
        <w:rPr>
          <w:rFonts w:hint="default" w:ascii="华文仿宋" w:hAnsi="华文仿宋" w:eastAsia="华文仿宋" w:cs="华文仿宋"/>
          <w:sz w:val="32"/>
          <w:szCs w:val="32"/>
          <w:lang w:val="en-US" w:eastAsia="zh-CN"/>
        </w:rPr>
        <w:t>支持耐火、水泥、砂陶等传统产业技术改造；支持绿色建筑和装配式建筑优化产品结构。</w:t>
      </w:r>
    </w:p>
    <w:p w14:paraId="6F3E6EE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二</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新兴产业</w:t>
      </w:r>
      <w:r>
        <w:rPr>
          <w:rFonts w:hint="eastAsia" w:ascii="华文楷体" w:hAnsi="华文楷体" w:eastAsia="华文楷体" w:cs="华文楷体"/>
          <w:sz w:val="32"/>
          <w:szCs w:val="32"/>
        </w:rPr>
        <w:t>方面</w:t>
      </w:r>
    </w:p>
    <w:p w14:paraId="6FB9FEA1">
      <w:pPr>
        <w:keepNext w:val="0"/>
        <w:keepLines w:val="0"/>
        <w:pageBreakBefore w:val="0"/>
        <w:kinsoku/>
        <w:wordWrap/>
        <w:overflowPunct/>
        <w:topLinePunct w:val="0"/>
        <w:autoSpaceDE/>
        <w:autoSpaceDN/>
        <w:bidi w:val="0"/>
        <w:spacing w:line="560" w:lineRule="exact"/>
        <w:ind w:firstLine="640" w:firstLineChars="200"/>
        <w:textAlignment w:val="auto"/>
        <w:rPr>
          <w:rStyle w:val="7"/>
          <w:rFonts w:hint="default" w:ascii="仿宋_GB2312" w:hAnsi="仿宋_GB2312" w:eastAsia="仿宋_GB2312" w:cs="仿宋_GB2312"/>
          <w:b/>
          <w:bCs/>
          <w:kern w:val="2"/>
          <w:sz w:val="32"/>
          <w:szCs w:val="32"/>
          <w:highlight w:val="none"/>
          <w:lang w:val="en-US" w:eastAsia="zh-CN" w:bidi="ar-SA"/>
        </w:rPr>
      </w:pPr>
      <w:r>
        <w:rPr>
          <w:rStyle w:val="7"/>
          <w:rFonts w:hint="eastAsia" w:ascii="仿宋_GB2312" w:hAnsi="仿宋_GB2312" w:eastAsia="仿宋_GB2312" w:cs="仿宋_GB2312"/>
          <w:kern w:val="2"/>
          <w:sz w:val="32"/>
          <w:szCs w:val="32"/>
          <w:highlight w:val="none"/>
          <w:lang w:val="en-US" w:eastAsia="zh-CN" w:bidi="ar-SA"/>
        </w:rPr>
        <w:t>（1）新材料：支持围绕新能源电池、铝镁精深加工、碳基新材料、特种金属材料、精细化工材料等领域，聚焦“锂/钠离子电池及相关材料—储能系统—新型储能电站”</w:t>
      </w:r>
      <w:r>
        <w:rPr>
          <w:rFonts w:hint="eastAsia" w:ascii="华文仿宋" w:hAnsi="华文仿宋" w:eastAsia="华文仿宋" w:cs="华文仿宋"/>
          <w:sz w:val="32"/>
          <w:szCs w:val="32"/>
        </w:rPr>
        <w:t>“石灰石矿采选—碳酸钙—活性氧化钙—终端产品”</w:t>
      </w:r>
      <w:r>
        <w:rPr>
          <w:rFonts w:hint="eastAsia" w:ascii="华文仿宋" w:hAnsi="华文仿宋" w:eastAsia="华文仿宋" w:cs="华文仿宋"/>
          <w:sz w:val="32"/>
          <w:szCs w:val="32"/>
          <w:lang w:eastAsia="zh-CN"/>
        </w:rPr>
        <w:t>“铝土矿 / 镁矿石开采—氧化铝/原镁生产—电解铝/镁合金制备—铝镁精深加工产品”</w:t>
      </w:r>
      <w:r>
        <w:rPr>
          <w:rStyle w:val="7"/>
          <w:rFonts w:hint="eastAsia" w:ascii="仿宋_GB2312" w:hAnsi="仿宋_GB2312" w:eastAsia="仿宋_GB2312" w:cs="仿宋_GB2312"/>
          <w:kern w:val="2"/>
          <w:sz w:val="32"/>
          <w:szCs w:val="32"/>
          <w:highlight w:val="none"/>
          <w:lang w:val="en-US" w:eastAsia="zh-CN" w:bidi="ar-SA"/>
        </w:rPr>
        <w:t>“煤—合成气—甲醇—甲醛—BDO—PBAT—制品”等产业链开展技术研发和成果转化；</w:t>
      </w:r>
    </w:p>
    <w:p w14:paraId="1131FA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（2）新型装备制造：支持围绕煤机装备、泵阀制造、工业机器人、高端数控机床、新能源汽车装备等产业领域开展技术研发与成果转化；围绕“智能感知</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精准控制</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先进传动</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系统集成</w:t>
      </w:r>
      <w:r>
        <w:rPr>
          <w:rFonts w:hint="eastAsia" w:ascii="华文仿宋" w:hAnsi="华文仿宋" w:eastAsia="华文仿宋" w:cs="华文仿宋"/>
          <w:sz w:val="32"/>
          <w:szCs w:val="32"/>
          <w:lang w:eastAsia="zh-CN"/>
        </w:rPr>
        <w:t>—</w:t>
      </w:r>
      <w:r>
        <w:rPr>
          <w:rFonts w:hint="eastAsia" w:ascii="华文仿宋" w:hAnsi="华文仿宋" w:eastAsia="华文仿宋" w:cs="华文仿宋"/>
          <w:kern w:val="2"/>
          <w:sz w:val="32"/>
          <w:szCs w:val="32"/>
          <w:lang w:val="en-US" w:eastAsia="zh-CN" w:bidi="ar-SA"/>
        </w:rPr>
        <w:t>运维服务”产业链开展关键技术研发，支持高端农机装备制造、线缆智能化开展技术研发，打造自主可控的高端装备技术体系；</w:t>
      </w:r>
    </w:p>
    <w:p w14:paraId="3F9F77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7"/>
          <w:rFonts w:hint="eastAsia" w:ascii="仿宋_GB2312" w:hAnsi="仿宋_GB2312" w:eastAsia="仿宋_GB2312" w:cs="仿宋_GB2312"/>
          <w:kern w:val="2"/>
          <w:sz w:val="32"/>
          <w:szCs w:val="32"/>
          <w:highlight w:val="none"/>
          <w:lang w:val="en-US" w:eastAsia="zh-CN" w:bidi="ar-SA"/>
        </w:rPr>
      </w:pPr>
      <w:r>
        <w:rPr>
          <w:rStyle w:val="7"/>
          <w:rFonts w:hint="eastAsia" w:ascii="仿宋_GB2312" w:hAnsi="仿宋_GB2312" w:eastAsia="仿宋_GB2312" w:cs="仿宋_GB2312"/>
          <w:kern w:val="2"/>
          <w:sz w:val="32"/>
          <w:szCs w:val="32"/>
          <w:highlight w:val="none"/>
          <w:lang w:val="en-US" w:eastAsia="zh-CN" w:bidi="ar-SA"/>
        </w:rPr>
        <w:t>（3）节能环保：支持围绕高效节能锅炉窑炉、余热余压利用设备、大气污染防治装备、水污染治理装备、固废资源化利用装备等产业领域开展技术研发与成果转化；支持提升工业固废综合利用率方面的关键技术研发；支持二氧化碳、甲烷等温室气体排放控制和利用技术研发和成果应用；支持围绕煤矸石、粉煤灰、尾矿、赤泥、脱硫石膏等工业固废领域，聚焦“废金属、家电等再生资源回收—加工处理—资源再利用”“煤矸石、粉煤灰等固废—综合利用—终端消费”等产业链开展关键技术研究；支持再生铝资源回收利用，铝产品高端化、智能化技术研发和转化应用。</w:t>
      </w:r>
    </w:p>
    <w:p w14:paraId="58A4A9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华文仿宋" w:hAnsi="华文仿宋" w:eastAsia="华文仿宋" w:cs="华文仿宋"/>
          <w:sz w:val="32"/>
          <w:szCs w:val="32"/>
        </w:rPr>
      </w:pPr>
      <w:r>
        <w:rPr>
          <w:rStyle w:val="7"/>
          <w:rFonts w:hint="eastAsia" w:ascii="仿宋_GB2312" w:hAnsi="仿宋_GB2312" w:eastAsia="仿宋_GB2312" w:cs="仿宋_GB2312"/>
          <w:kern w:val="2"/>
          <w:sz w:val="32"/>
          <w:szCs w:val="32"/>
          <w:highlight w:val="none"/>
          <w:lang w:val="en-US" w:eastAsia="zh-CN" w:bidi="ar-SA"/>
        </w:rPr>
        <w:t>（4）未来产业：支持人工智能、商用航天、低空经济、绿色氢能等未来产业领域</w:t>
      </w:r>
      <w:r>
        <w:rPr>
          <w:rFonts w:hint="eastAsia" w:ascii="华文仿宋" w:hAnsi="华文仿宋" w:eastAsia="华文仿宋" w:cs="华文仿宋"/>
          <w:sz w:val="32"/>
          <w:szCs w:val="32"/>
        </w:rPr>
        <w:t>技术研发和成果转化应用。</w:t>
      </w:r>
    </w:p>
    <w:p w14:paraId="6F77168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（三）数智新城方面</w:t>
      </w:r>
    </w:p>
    <w:p w14:paraId="44867AB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（1）支持新一代信息技术发展应用；支持围绕信创、电子信息制造、半导体材料、智能家居、智能网联汽车等产业领域开展技术研发与成果转化；围绕“5G-大数据中心-数字治理</w:t>
      </w:r>
      <w:r>
        <w:rPr>
          <w:rFonts w:hint="default" w:ascii="华文仿宋" w:hAnsi="华文仿宋" w:eastAsia="华文仿宋" w:cs="华文仿宋"/>
          <w:sz w:val="32"/>
          <w:szCs w:val="32"/>
          <w:lang w:val="en-US"/>
        </w:rPr>
        <w:t>－</w:t>
      </w:r>
      <w:r>
        <w:rPr>
          <w:rFonts w:hint="eastAsia" w:ascii="华文仿宋" w:hAnsi="华文仿宋" w:eastAsia="华文仿宋" w:cs="华文仿宋"/>
          <w:sz w:val="32"/>
          <w:szCs w:val="32"/>
        </w:rPr>
        <w:t>数字产业</w:t>
      </w:r>
      <w:r>
        <w:rPr>
          <w:rFonts w:hint="default" w:ascii="华文仿宋" w:hAnsi="华文仿宋" w:eastAsia="华文仿宋" w:cs="华文仿宋"/>
          <w:sz w:val="32"/>
          <w:szCs w:val="32"/>
          <w:lang w:val="en-US"/>
        </w:rPr>
        <w:t>－</w:t>
      </w:r>
      <w:r>
        <w:rPr>
          <w:rFonts w:hint="eastAsia" w:ascii="华文仿宋" w:hAnsi="华文仿宋" w:eastAsia="华文仿宋" w:cs="华文仿宋"/>
          <w:sz w:val="32"/>
          <w:szCs w:val="32"/>
        </w:rPr>
        <w:t>数字融合”产业链开展关键技术研发；</w:t>
      </w:r>
    </w:p>
    <w:p w14:paraId="0722AC6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支持开展区块链、智能算力</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物联网、云计算等领域技术研发和融合应用；</w:t>
      </w:r>
    </w:p>
    <w:p w14:paraId="729EBA6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）支持大数据在工业、农业、环保、交通、医疗、文旅、城市管理等领域的应用，重点聚焦智能终端设备、智能网联车、</w:t>
      </w:r>
      <w:r>
        <w:rPr>
          <w:rFonts w:hint="eastAsia" w:ascii="华文仿宋" w:hAnsi="华文仿宋" w:eastAsia="华文仿宋" w:cs="华文仿宋"/>
          <w:sz w:val="32"/>
          <w:szCs w:val="32"/>
          <w:lang w:eastAsia="zh-CN"/>
        </w:rPr>
        <w:t>数据处理、</w:t>
      </w:r>
      <w:r>
        <w:rPr>
          <w:rFonts w:hint="eastAsia" w:ascii="华文仿宋" w:hAnsi="华文仿宋" w:eastAsia="华文仿宋" w:cs="华文仿宋"/>
          <w:sz w:val="32"/>
          <w:szCs w:val="32"/>
        </w:rPr>
        <w:t>直播经济、工业互联网等细分产业的应用</w:t>
      </w:r>
      <w:r>
        <w:rPr>
          <w:rFonts w:hint="eastAsia" w:ascii="华文仿宋" w:hAnsi="华文仿宋" w:eastAsia="华文仿宋" w:cs="华文仿宋"/>
          <w:sz w:val="32"/>
          <w:szCs w:val="32"/>
          <w:lang w:eastAsia="zh-CN"/>
        </w:rPr>
        <w:t>；支持DeepSeek等AI技术在各领域的创新应用。</w:t>
      </w:r>
    </w:p>
    <w:p w14:paraId="0DB6FC5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四</w:t>
      </w: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eastAsia="zh-CN"/>
        </w:rPr>
        <w:t>现代服务业</w:t>
      </w:r>
      <w:r>
        <w:rPr>
          <w:rFonts w:hint="eastAsia" w:ascii="华文楷体" w:hAnsi="华文楷体" w:eastAsia="华文楷体" w:cs="华文楷体"/>
          <w:sz w:val="32"/>
          <w:szCs w:val="32"/>
        </w:rPr>
        <w:t>方面</w:t>
      </w:r>
    </w:p>
    <w:p w14:paraId="7685C03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r>
        <w:rPr>
          <w:rFonts w:hint="eastAsia" w:ascii="华文仿宋" w:hAnsi="华文仿宋" w:eastAsia="华文仿宋" w:cs="华文仿宋"/>
          <w:sz w:val="32"/>
          <w:szCs w:val="32"/>
          <w:lang w:eastAsia="zh-CN"/>
        </w:rPr>
        <w:t>支持开展</w:t>
      </w:r>
      <w:r>
        <w:rPr>
          <w:rFonts w:hint="eastAsia" w:ascii="华文仿宋" w:hAnsi="华文仿宋" w:eastAsia="华文仿宋" w:cs="华文仿宋"/>
          <w:sz w:val="32"/>
          <w:szCs w:val="32"/>
        </w:rPr>
        <w:t>服务型制造、定制设计、柔性制造</w:t>
      </w:r>
      <w:r>
        <w:rPr>
          <w:rFonts w:hint="eastAsia" w:ascii="华文仿宋" w:hAnsi="华文仿宋" w:eastAsia="华文仿宋" w:cs="华文仿宋"/>
          <w:sz w:val="32"/>
          <w:szCs w:val="32"/>
          <w:lang w:eastAsia="zh-CN"/>
        </w:rPr>
        <w:t>等领域</w:t>
      </w:r>
      <w:r>
        <w:rPr>
          <w:rFonts w:hint="eastAsia" w:ascii="华文仿宋" w:hAnsi="华文仿宋" w:eastAsia="华文仿宋" w:cs="华文仿宋"/>
          <w:sz w:val="32"/>
          <w:szCs w:val="32"/>
        </w:rPr>
        <w:t>技术研发和融合应用</w:t>
      </w:r>
      <w:r>
        <w:rPr>
          <w:rFonts w:hint="eastAsia" w:ascii="华文仿宋" w:hAnsi="华文仿宋" w:eastAsia="华文仿宋" w:cs="华文仿宋"/>
          <w:sz w:val="32"/>
          <w:szCs w:val="32"/>
          <w:lang w:eastAsia="zh-CN"/>
        </w:rPr>
        <w:t>；支持科技服务业相关技术的创新应用；支持人力资源、软件与信息、通航服务等领域</w:t>
      </w:r>
      <w:r>
        <w:rPr>
          <w:rFonts w:hint="eastAsia" w:ascii="华文仿宋" w:hAnsi="华文仿宋" w:eastAsia="华文仿宋" w:cs="华文仿宋"/>
          <w:sz w:val="32"/>
          <w:szCs w:val="32"/>
        </w:rPr>
        <w:t>技术研发和融合应用</w:t>
      </w:r>
      <w:r>
        <w:rPr>
          <w:rFonts w:hint="eastAsia" w:ascii="华文仿宋" w:hAnsi="华文仿宋" w:eastAsia="华文仿宋" w:cs="华文仿宋"/>
          <w:sz w:val="32"/>
          <w:szCs w:val="32"/>
          <w:lang w:eastAsia="zh-CN"/>
        </w:rPr>
        <w:t>；</w:t>
      </w:r>
    </w:p>
    <w:p w14:paraId="5EE7622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（2）支持云计算在金融科技、智慧物流、远程办公、在线教育、健康管理等领域的应用，重点聚焦无人配送设备、知识图谱构建、沉浸式文旅体验、服务机器人等细分产业的应用。</w:t>
      </w:r>
    </w:p>
    <w:p w14:paraId="1143F80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二、农业领域</w:t>
      </w:r>
    </w:p>
    <w:p w14:paraId="1B57AB7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聚焦我市“富硒”特色，支持培育杂粮、禽蛋、养殖、酿品等有助于本地富硒产业提质增效的新技术、新设备研发和转化应用，支持设施农业信息化智能化技术研发与集成。支持优势农产品良种选育和育种技术创新，支持鲜明本地区域特点的新品种培育。</w:t>
      </w:r>
    </w:p>
    <w:p w14:paraId="403F391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支持病虫草害预测及绿色防控技术与畜禽主要疾病防控技术的开发应用。</w:t>
      </w:r>
    </w:p>
    <w:p w14:paraId="3A73718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支持农牧产品精深加工技术开发和转化应用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支持符合阳泉土壤特性和气候特点的适用肥料研发和转化应用。</w:t>
      </w:r>
    </w:p>
    <w:p w14:paraId="782600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支持种源与种业创新，有机旱作与绿色生态种植养殖，粮食高效生产</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仓储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加工技术及装备，农作物外来有害生物入侵防控，动植物综合防疫，野生动植物保护，特色健康功能食品的开发，粮食安全，智慧农业，数字乡村等领域技术研发和成果应用。</w:t>
      </w:r>
    </w:p>
    <w:p w14:paraId="1EF05D2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方正黑体_GBK" w:hAnsi="方正黑体_GBK" w:eastAsia="方正黑体_GBK" w:cs="方正黑体_GBK"/>
          <w:sz w:val="32"/>
          <w:szCs w:val="32"/>
        </w:rPr>
        <w:t>三、社会发展领域</w:t>
      </w:r>
    </w:p>
    <w:p w14:paraId="0D0E4DF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围绕实现经济社会绿色协调可持续发展，鼓励开展民生健康、</w:t>
      </w:r>
      <w:r>
        <w:rPr>
          <w:rFonts w:hint="eastAsia" w:ascii="华文仿宋" w:hAnsi="华文仿宋" w:eastAsia="华文仿宋" w:cs="华文仿宋"/>
          <w:sz w:val="32"/>
          <w:szCs w:val="32"/>
          <w:lang w:eastAsia="zh-CN"/>
        </w:rPr>
        <w:t>碳达峰、</w:t>
      </w:r>
      <w:r>
        <w:rPr>
          <w:rFonts w:hint="eastAsia" w:ascii="华文仿宋" w:hAnsi="华文仿宋" w:eastAsia="华文仿宋" w:cs="华文仿宋"/>
          <w:sz w:val="32"/>
          <w:szCs w:val="32"/>
        </w:rPr>
        <w:t>生态环保、防灾减灾、</w:t>
      </w:r>
      <w:r>
        <w:rPr>
          <w:rFonts w:hint="eastAsia" w:ascii="华文仿宋" w:hAnsi="华文仿宋" w:eastAsia="华文仿宋" w:cs="华文仿宋"/>
          <w:sz w:val="32"/>
          <w:szCs w:val="32"/>
          <w:lang w:eastAsia="zh-CN"/>
        </w:rPr>
        <w:t>特色食品及</w:t>
      </w:r>
      <w:r>
        <w:rPr>
          <w:rFonts w:hint="eastAsia" w:ascii="华文仿宋" w:hAnsi="华文仿宋" w:eastAsia="华文仿宋" w:cs="华文仿宋"/>
          <w:sz w:val="32"/>
          <w:szCs w:val="32"/>
        </w:rPr>
        <w:t>食品安全、公共安全、</w:t>
      </w:r>
      <w:r>
        <w:rPr>
          <w:rFonts w:hint="eastAsia" w:ascii="华文仿宋" w:hAnsi="华文仿宋" w:eastAsia="华文仿宋" w:cs="华文仿宋"/>
          <w:sz w:val="32"/>
          <w:szCs w:val="32"/>
          <w:lang w:eastAsia="zh-CN"/>
        </w:rPr>
        <w:t>科技安全、安全生产、</w:t>
      </w:r>
      <w:r>
        <w:rPr>
          <w:rFonts w:hint="eastAsia" w:ascii="华文仿宋" w:hAnsi="华文仿宋" w:eastAsia="华文仿宋" w:cs="华文仿宋"/>
          <w:sz w:val="32"/>
          <w:szCs w:val="32"/>
        </w:rPr>
        <w:t>科技强警、</w:t>
      </w:r>
      <w:r>
        <w:rPr>
          <w:rFonts w:hint="eastAsia" w:ascii="华文仿宋" w:hAnsi="华文仿宋" w:eastAsia="华文仿宋" w:cs="华文仿宋"/>
          <w:sz w:val="32"/>
          <w:szCs w:val="32"/>
          <w:lang w:eastAsia="zh-CN"/>
        </w:rPr>
        <w:t>财政管理、</w:t>
      </w:r>
      <w:r>
        <w:rPr>
          <w:rFonts w:hint="eastAsia" w:ascii="华文仿宋" w:hAnsi="华文仿宋" w:eastAsia="华文仿宋" w:cs="华文仿宋"/>
          <w:sz w:val="32"/>
          <w:szCs w:val="32"/>
        </w:rPr>
        <w:t>社会公共事业、生物技术、文物保护，康复器具、中医药、慢性病防治</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气候治理、预警、监测技术</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节水技术</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档案管理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数字+（医疗、</w:t>
      </w:r>
      <w:r>
        <w:rPr>
          <w:rFonts w:hint="eastAsia" w:ascii="华文仿宋" w:hAnsi="华文仿宋" w:eastAsia="华文仿宋" w:cs="华文仿宋"/>
          <w:sz w:val="32"/>
          <w:szCs w:val="32"/>
          <w:lang w:eastAsia="zh-CN"/>
        </w:rPr>
        <w:t>养老、</w:t>
      </w:r>
      <w:r>
        <w:rPr>
          <w:rFonts w:hint="eastAsia" w:ascii="华文仿宋" w:hAnsi="华文仿宋" w:eastAsia="华文仿宋" w:cs="华文仿宋"/>
          <w:sz w:val="32"/>
          <w:szCs w:val="32"/>
        </w:rPr>
        <w:t>教育、旅游、公共服务等服务业）等领域的科技创新，支持相关的公益性应用基础研究项目。</w:t>
      </w:r>
    </w:p>
    <w:p w14:paraId="5D103D0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聚焦全市科技创新工作的重大关键问题开展研究，为科技支撑引领全方位推进高质量发展、坚持科技创新助推经济社会发展等提供决策参考。</w:t>
      </w:r>
    </w:p>
    <w:p w14:paraId="56576E2D">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围绕我市优势主导产业、战略性新兴产业</w:t>
      </w:r>
      <w:r>
        <w:rPr>
          <w:rFonts w:hint="eastAsia" w:ascii="华文仿宋" w:hAnsi="华文仿宋" w:eastAsia="华文仿宋" w:cs="华文仿宋"/>
          <w:sz w:val="32"/>
          <w:szCs w:val="32"/>
          <w:lang w:eastAsia="zh-CN"/>
        </w:rPr>
        <w:t>以及</w:t>
      </w:r>
      <w:r>
        <w:rPr>
          <w:rFonts w:hint="eastAsia" w:ascii="华文仿宋" w:hAnsi="华文仿宋" w:eastAsia="华文仿宋" w:cs="华文仿宋"/>
          <w:sz w:val="32"/>
          <w:szCs w:val="32"/>
        </w:rPr>
        <w:t>健康医疗、教育科研、农林水畜、文旅康养、新型毒品鉴别与防治、科技军民融合发展、现代服务业等事关我市经济和社会发展方面的难点、堵点、热点问题的技术方面</w:t>
      </w:r>
      <w:r>
        <w:rPr>
          <w:rFonts w:hint="eastAsia" w:ascii="华文仿宋" w:hAnsi="华文仿宋" w:eastAsia="华文仿宋" w:cs="华文仿宋"/>
          <w:sz w:val="32"/>
          <w:szCs w:val="32"/>
          <w:lang w:eastAsia="zh-CN"/>
        </w:rPr>
        <w:t>开展</w:t>
      </w:r>
      <w:r>
        <w:rPr>
          <w:rFonts w:hint="eastAsia" w:ascii="华文仿宋" w:hAnsi="华文仿宋" w:eastAsia="华文仿宋" w:cs="华文仿宋"/>
          <w:sz w:val="32"/>
          <w:szCs w:val="32"/>
        </w:rPr>
        <w:t>研究。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黑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426E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B01F4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EB01F4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573EB"/>
    <w:rsid w:val="4945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2025-04-14T01:41:00Z</dcterms:created>
  <dc:creator>WPS_1178383996</dc:creator>
  <cp:lastModifiedBy>WPS_1178383996</cp:lastModifiedBy>
  <dcterms:modified xsi:type="dcterms:W3CDTF">2025-04-14T01:41:53Z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1E4EA04FFE164C208309A7363E9944CB_11</vt:lpwstr>
  </property>
  <property fmtid="{D5CDD505-2E9C-101B-9397-08002B2CF9AE}" pid="4" name="KSOTemplateDocerSaveRecord">
    <vt:lpwstr>eyJoZGlkIjoiMjhmMDdkMDhkODZiOTlmZmVlM2MzZjg4NTliMzA4MTgiLCJ1c2VySWQiOiIxMTc4MzgzOTk2In0=</vt:lpwstr>
  </property>
</Properties>
</file>