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B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00" w:lineRule="atLeast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</w:p>
    <w:p w14:paraId="410AA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00" w:lineRule="atLeast"/>
        <w:ind w:right="0"/>
        <w:jc w:val="center"/>
        <w:textAlignment w:val="auto"/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z w:val="34"/>
        </w:rPr>
        <w:t>知识产权执法指导案件统计表</w:t>
      </w:r>
    </w:p>
    <w:bookmarkEnd w:id="0"/>
    <w:tbl>
      <w:tblPr>
        <w:tblStyle w:val="4"/>
        <w:tblpPr w:leftFromText="180" w:rightFromText="180" w:vertAnchor="text" w:horzAnchor="page" w:tblpX="1655" w:tblpY="334"/>
        <w:tblOverlap w:val="never"/>
        <w:tblW w:w="860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2400"/>
        <w:gridCol w:w="5060"/>
        <w:gridCol w:w="20"/>
        <w:gridCol w:w="1100"/>
      </w:tblGrid>
      <w:tr w14:paraId="131DC7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80" w:type="dxa"/>
            <w:gridSpan w:val="3"/>
            <w:noWrap w:val="0"/>
            <w:vAlign w:val="center"/>
          </w:tcPr>
          <w:p w14:paraId="5FB1C5E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案件类别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D4E978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数量/数额</w:t>
            </w:r>
          </w:p>
        </w:tc>
      </w:tr>
      <w:tr w14:paraId="422974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20" w:type="dxa"/>
            <w:gridSpan w:val="2"/>
            <w:vMerge w:val="restart"/>
            <w:noWrap w:val="0"/>
            <w:vAlign w:val="center"/>
          </w:tcPr>
          <w:p w14:paraId="06F2F0C2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商标侵权案件</w:t>
            </w:r>
          </w:p>
        </w:tc>
        <w:tc>
          <w:tcPr>
            <w:tcW w:w="5060" w:type="dxa"/>
            <w:noWrap w:val="0"/>
            <w:vAlign w:val="center"/>
          </w:tcPr>
          <w:p w14:paraId="79919BF3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78CB1818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64D155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2A8C3E8C"/>
        </w:tc>
        <w:tc>
          <w:tcPr>
            <w:tcW w:w="5060" w:type="dxa"/>
            <w:noWrap w:val="0"/>
            <w:vAlign w:val="center"/>
          </w:tcPr>
          <w:p w14:paraId="4E7B109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其中：网络领域案件数(件)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D32B639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C355A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02CCE1A2"/>
        </w:tc>
        <w:tc>
          <w:tcPr>
            <w:tcW w:w="5060" w:type="dxa"/>
            <w:noWrap w:val="0"/>
            <w:vAlign w:val="center"/>
          </w:tcPr>
          <w:p w14:paraId="044C3630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其中：涉民营企业案件数(件)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D3A5E11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1E161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4A2BD57A"/>
        </w:tc>
        <w:tc>
          <w:tcPr>
            <w:tcW w:w="5060" w:type="dxa"/>
            <w:noWrap w:val="0"/>
            <w:vAlign w:val="center"/>
          </w:tcPr>
          <w:p w14:paraId="71BA18F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其中：涉外资企业案件数(件)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14B23BA3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3D084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5F95076E"/>
        </w:tc>
        <w:tc>
          <w:tcPr>
            <w:tcW w:w="5060" w:type="dxa"/>
            <w:noWrap w:val="0"/>
            <w:vAlign w:val="center"/>
          </w:tcPr>
          <w:p w14:paraId="05F4ADB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其中：涉驰名商标案件数(件)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C9E6779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F870D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41F4B2A4"/>
        </w:tc>
        <w:tc>
          <w:tcPr>
            <w:tcW w:w="5060" w:type="dxa"/>
            <w:noWrap w:val="0"/>
            <w:vAlign w:val="center"/>
          </w:tcPr>
          <w:p w14:paraId="17C532D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其中：涉中华老字号案件数(件)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16D572D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427122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24BBA93F"/>
        </w:tc>
        <w:tc>
          <w:tcPr>
            <w:tcW w:w="5060" w:type="dxa"/>
            <w:noWrap w:val="0"/>
            <w:vAlign w:val="center"/>
          </w:tcPr>
          <w:p w14:paraId="6E88B02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411E286E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17963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6D5859A2"/>
        </w:tc>
        <w:tc>
          <w:tcPr>
            <w:tcW w:w="5060" w:type="dxa"/>
            <w:noWrap w:val="0"/>
            <w:vAlign w:val="center"/>
          </w:tcPr>
          <w:p w14:paraId="06D815C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其中：网络领域案件案值(万元)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581186F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5C3BC0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272A22F8"/>
        </w:tc>
        <w:tc>
          <w:tcPr>
            <w:tcW w:w="5060" w:type="dxa"/>
            <w:noWrap w:val="0"/>
            <w:vAlign w:val="center"/>
          </w:tcPr>
          <w:p w14:paraId="497D24C2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其中：涉民营企业案件案值(万元)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175B4037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33954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120E0619"/>
        </w:tc>
        <w:tc>
          <w:tcPr>
            <w:tcW w:w="5060" w:type="dxa"/>
            <w:noWrap w:val="0"/>
            <w:vAlign w:val="center"/>
          </w:tcPr>
          <w:p w14:paraId="1A19989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其中：涉外资企业案件案值(万元)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D7D2662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F3664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579D9CCD"/>
        </w:tc>
        <w:tc>
          <w:tcPr>
            <w:tcW w:w="5060" w:type="dxa"/>
            <w:noWrap w:val="0"/>
            <w:vAlign w:val="center"/>
          </w:tcPr>
          <w:p w14:paraId="45C16C4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其中：涉驰名商标案件案值(万元)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4980366A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04882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49039AC9"/>
        </w:tc>
        <w:tc>
          <w:tcPr>
            <w:tcW w:w="5060" w:type="dxa"/>
            <w:noWrap w:val="0"/>
            <w:vAlign w:val="center"/>
          </w:tcPr>
          <w:p w14:paraId="225CABF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其中：涉中华老字号案件案值(万元)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AA18826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691E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640D7FE2"/>
        </w:tc>
        <w:tc>
          <w:tcPr>
            <w:tcW w:w="5060" w:type="dxa"/>
            <w:noWrap w:val="0"/>
            <w:vAlign w:val="center"/>
          </w:tcPr>
          <w:p w14:paraId="6073139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2E3F1C45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47F679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30D1B465"/>
        </w:tc>
        <w:tc>
          <w:tcPr>
            <w:tcW w:w="5060" w:type="dxa"/>
            <w:noWrap w:val="0"/>
            <w:vAlign w:val="center"/>
          </w:tcPr>
          <w:p w14:paraId="36A9BD7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其中：网络领域案件罚没金额(万元)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664E1EB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3DFD75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6945BC3B"/>
        </w:tc>
        <w:tc>
          <w:tcPr>
            <w:tcW w:w="5060" w:type="dxa"/>
            <w:noWrap w:val="0"/>
            <w:vAlign w:val="center"/>
          </w:tcPr>
          <w:p w14:paraId="5C9BEAB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其中：涉民营企业案件罚没金额(万元)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2D94906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49A28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18BBBECA"/>
        </w:tc>
        <w:tc>
          <w:tcPr>
            <w:tcW w:w="5060" w:type="dxa"/>
            <w:noWrap w:val="0"/>
            <w:vAlign w:val="center"/>
          </w:tcPr>
          <w:p w14:paraId="4332DA5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其中：涉外资企业案件罚没金额(万元)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70358791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DE954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68FB2810"/>
        </w:tc>
        <w:tc>
          <w:tcPr>
            <w:tcW w:w="5060" w:type="dxa"/>
            <w:noWrap w:val="0"/>
            <w:vAlign w:val="center"/>
          </w:tcPr>
          <w:p w14:paraId="5D3E85DE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其中：涉驰名商标案件罚没金额(万元)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2EC6CC1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3E442D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432429BC"/>
        </w:tc>
        <w:tc>
          <w:tcPr>
            <w:tcW w:w="5060" w:type="dxa"/>
            <w:noWrap w:val="0"/>
            <w:vAlign w:val="center"/>
          </w:tcPr>
          <w:p w14:paraId="55BB950D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其中：涉中华老字号案件罚没金额(万元)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62485814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1D76F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0936F8B7"/>
        </w:tc>
        <w:tc>
          <w:tcPr>
            <w:tcW w:w="5060" w:type="dxa"/>
            <w:noWrap w:val="0"/>
            <w:vAlign w:val="center"/>
          </w:tcPr>
          <w:p w14:paraId="6E1E781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移送司法机关案件数(件)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0BA55FD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3D1743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6974DC19"/>
        </w:tc>
        <w:tc>
          <w:tcPr>
            <w:tcW w:w="5060" w:type="dxa"/>
            <w:noWrap w:val="0"/>
            <w:vAlign w:val="center"/>
          </w:tcPr>
          <w:p w14:paraId="2FB51710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移送司法机关人数(人)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51AEFDC4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E8FF3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restart"/>
            <w:noWrap w:val="0"/>
            <w:vAlign w:val="center"/>
          </w:tcPr>
          <w:p w14:paraId="170DE1F5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商标一般违法案件</w:t>
            </w:r>
          </w:p>
        </w:tc>
        <w:tc>
          <w:tcPr>
            <w:tcW w:w="5060" w:type="dxa"/>
            <w:noWrap w:val="0"/>
            <w:vAlign w:val="center"/>
          </w:tcPr>
          <w:p w14:paraId="1374090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5FBDAA17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44397D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3D85A442"/>
        </w:tc>
        <w:tc>
          <w:tcPr>
            <w:tcW w:w="5060" w:type="dxa"/>
            <w:noWrap w:val="0"/>
            <w:vAlign w:val="center"/>
          </w:tcPr>
          <w:p w14:paraId="192087E8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其中：网络领域案件数(件)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431F6F26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D38AA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0C12B22A"/>
        </w:tc>
        <w:tc>
          <w:tcPr>
            <w:tcW w:w="5060" w:type="dxa"/>
            <w:noWrap w:val="0"/>
            <w:vAlign w:val="center"/>
          </w:tcPr>
          <w:p w14:paraId="300DCB3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4B5A6AFA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63198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0B0EF647"/>
        </w:tc>
        <w:tc>
          <w:tcPr>
            <w:tcW w:w="5060" w:type="dxa"/>
            <w:noWrap w:val="0"/>
            <w:vAlign w:val="center"/>
          </w:tcPr>
          <w:p w14:paraId="6A3972B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其中：网络领域案件案值(万元)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0935C5EA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09477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53244A47"/>
        </w:tc>
        <w:tc>
          <w:tcPr>
            <w:tcW w:w="5060" w:type="dxa"/>
            <w:noWrap w:val="0"/>
            <w:vAlign w:val="center"/>
          </w:tcPr>
          <w:p w14:paraId="11110DC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6756E980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6CCBF4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0" w:type="dxa"/>
            <w:gridSpan w:val="2"/>
            <w:vMerge w:val="continue"/>
            <w:noWrap w:val="0"/>
            <w:vAlign w:val="top"/>
          </w:tcPr>
          <w:p w14:paraId="0BB58E06"/>
        </w:tc>
        <w:tc>
          <w:tcPr>
            <w:tcW w:w="5060" w:type="dxa"/>
            <w:noWrap w:val="0"/>
            <w:vAlign w:val="center"/>
          </w:tcPr>
          <w:p w14:paraId="2B930D6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其中：网络领域案件罚没金额(万元)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55343760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4AFA50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280" w:hRule="atLeast"/>
        </w:trPr>
        <w:tc>
          <w:tcPr>
            <w:tcW w:w="7480" w:type="dxa"/>
            <w:gridSpan w:val="3"/>
            <w:noWrap w:val="0"/>
            <w:vAlign w:val="center"/>
          </w:tcPr>
          <w:p w14:paraId="777B3AA9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案件类别</w:t>
            </w:r>
          </w:p>
        </w:tc>
        <w:tc>
          <w:tcPr>
            <w:tcW w:w="1100" w:type="dxa"/>
            <w:noWrap w:val="0"/>
            <w:vAlign w:val="center"/>
          </w:tcPr>
          <w:p w14:paraId="167E5AFF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数量/数额</w:t>
            </w:r>
          </w:p>
        </w:tc>
      </w:tr>
      <w:tr w14:paraId="5DB6F5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restart"/>
            <w:noWrap w:val="0"/>
            <w:vAlign w:val="center"/>
          </w:tcPr>
          <w:p w14:paraId="31CD010F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假冒专利案件</w:t>
            </w:r>
          </w:p>
        </w:tc>
        <w:tc>
          <w:tcPr>
            <w:tcW w:w="5080" w:type="dxa"/>
            <w:gridSpan w:val="2"/>
            <w:noWrap w:val="0"/>
            <w:vAlign w:val="center"/>
          </w:tcPr>
          <w:p w14:paraId="196ECF1B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案件数(件)</w:t>
            </w:r>
          </w:p>
        </w:tc>
        <w:tc>
          <w:tcPr>
            <w:tcW w:w="1100" w:type="dxa"/>
            <w:noWrap w:val="0"/>
            <w:vAlign w:val="center"/>
          </w:tcPr>
          <w:p w14:paraId="4199B45E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D121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00" w:hRule="atLeast"/>
        </w:trPr>
        <w:tc>
          <w:tcPr>
            <w:tcW w:w="2400" w:type="dxa"/>
            <w:vMerge w:val="continue"/>
            <w:noWrap w:val="0"/>
            <w:vAlign w:val="top"/>
          </w:tcPr>
          <w:p w14:paraId="377684EA"/>
        </w:tc>
        <w:tc>
          <w:tcPr>
            <w:tcW w:w="5080" w:type="dxa"/>
            <w:gridSpan w:val="2"/>
            <w:noWrap w:val="0"/>
            <w:vAlign w:val="center"/>
          </w:tcPr>
          <w:p w14:paraId="65802E1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其中：网络领域案件数(件)</w:t>
            </w:r>
          </w:p>
        </w:tc>
        <w:tc>
          <w:tcPr>
            <w:tcW w:w="1100" w:type="dxa"/>
            <w:noWrap w:val="0"/>
            <w:vAlign w:val="center"/>
          </w:tcPr>
          <w:p w14:paraId="0A343033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C7BE8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60" w:hRule="atLeast"/>
        </w:trPr>
        <w:tc>
          <w:tcPr>
            <w:tcW w:w="2400" w:type="dxa"/>
            <w:vMerge w:val="continue"/>
            <w:noWrap w:val="0"/>
            <w:vAlign w:val="top"/>
          </w:tcPr>
          <w:p w14:paraId="4C6FD6F8"/>
        </w:tc>
        <w:tc>
          <w:tcPr>
            <w:tcW w:w="5080" w:type="dxa"/>
            <w:gridSpan w:val="2"/>
            <w:noWrap w:val="0"/>
            <w:vAlign w:val="center"/>
          </w:tcPr>
          <w:p w14:paraId="2EAACE31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案值(万元)</w:t>
            </w:r>
          </w:p>
        </w:tc>
        <w:tc>
          <w:tcPr>
            <w:tcW w:w="1100" w:type="dxa"/>
            <w:noWrap w:val="0"/>
            <w:vAlign w:val="center"/>
          </w:tcPr>
          <w:p w14:paraId="166016FB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3DD527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491AD669"/>
        </w:tc>
        <w:tc>
          <w:tcPr>
            <w:tcW w:w="5080" w:type="dxa"/>
            <w:gridSpan w:val="2"/>
            <w:noWrap w:val="0"/>
            <w:vAlign w:val="center"/>
          </w:tcPr>
          <w:p w14:paraId="72E1DB0B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其中：网络领域案件案值(万元)</w:t>
            </w:r>
          </w:p>
        </w:tc>
        <w:tc>
          <w:tcPr>
            <w:tcW w:w="1100" w:type="dxa"/>
            <w:noWrap w:val="0"/>
            <w:vAlign w:val="center"/>
          </w:tcPr>
          <w:p w14:paraId="15D1F1B2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81AC0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00" w:hRule="atLeast"/>
        </w:trPr>
        <w:tc>
          <w:tcPr>
            <w:tcW w:w="2400" w:type="dxa"/>
            <w:vMerge w:val="continue"/>
            <w:noWrap w:val="0"/>
            <w:vAlign w:val="top"/>
          </w:tcPr>
          <w:p w14:paraId="4FF5BF59"/>
        </w:tc>
        <w:tc>
          <w:tcPr>
            <w:tcW w:w="5080" w:type="dxa"/>
            <w:gridSpan w:val="2"/>
            <w:noWrap w:val="0"/>
            <w:vAlign w:val="center"/>
          </w:tcPr>
          <w:p w14:paraId="14C72D5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罚没金额(万元)</w:t>
            </w:r>
          </w:p>
        </w:tc>
        <w:tc>
          <w:tcPr>
            <w:tcW w:w="1100" w:type="dxa"/>
            <w:noWrap w:val="0"/>
            <w:vAlign w:val="center"/>
          </w:tcPr>
          <w:p w14:paraId="12ADE47A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1D3CC2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40" w:hRule="atLeast"/>
        </w:trPr>
        <w:tc>
          <w:tcPr>
            <w:tcW w:w="2400" w:type="dxa"/>
            <w:vMerge w:val="continue"/>
            <w:noWrap w:val="0"/>
            <w:vAlign w:val="top"/>
          </w:tcPr>
          <w:p w14:paraId="3CF62857"/>
        </w:tc>
        <w:tc>
          <w:tcPr>
            <w:tcW w:w="5080" w:type="dxa"/>
            <w:gridSpan w:val="2"/>
            <w:noWrap w:val="0"/>
            <w:vAlign w:val="center"/>
          </w:tcPr>
          <w:p w14:paraId="791CC4C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其中：网络领域案件罚没金额(万元)</w:t>
            </w:r>
          </w:p>
        </w:tc>
        <w:tc>
          <w:tcPr>
            <w:tcW w:w="1100" w:type="dxa"/>
            <w:noWrap w:val="0"/>
            <w:vAlign w:val="center"/>
          </w:tcPr>
          <w:p w14:paraId="73A0D069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67FAB6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restart"/>
            <w:noWrap w:val="0"/>
            <w:vAlign w:val="center"/>
          </w:tcPr>
          <w:p w14:paraId="658AC9C1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地理标志产品案件</w:t>
            </w:r>
          </w:p>
        </w:tc>
        <w:tc>
          <w:tcPr>
            <w:tcW w:w="5080" w:type="dxa"/>
            <w:gridSpan w:val="2"/>
            <w:noWrap w:val="0"/>
            <w:vAlign w:val="center"/>
          </w:tcPr>
          <w:p w14:paraId="363F62E3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案件数(件)</w:t>
            </w:r>
          </w:p>
        </w:tc>
        <w:tc>
          <w:tcPr>
            <w:tcW w:w="1100" w:type="dxa"/>
            <w:noWrap w:val="0"/>
            <w:vAlign w:val="center"/>
          </w:tcPr>
          <w:p w14:paraId="34095FA2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3F2092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00" w:hRule="atLeast"/>
        </w:trPr>
        <w:tc>
          <w:tcPr>
            <w:tcW w:w="2400" w:type="dxa"/>
            <w:vMerge w:val="continue"/>
            <w:noWrap w:val="0"/>
            <w:vAlign w:val="top"/>
          </w:tcPr>
          <w:p w14:paraId="50A2400D"/>
        </w:tc>
        <w:tc>
          <w:tcPr>
            <w:tcW w:w="5080" w:type="dxa"/>
            <w:gridSpan w:val="2"/>
            <w:noWrap w:val="0"/>
            <w:vAlign w:val="center"/>
          </w:tcPr>
          <w:p w14:paraId="1E77AEB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其中：网络领域案件数(件)</w:t>
            </w:r>
          </w:p>
        </w:tc>
        <w:tc>
          <w:tcPr>
            <w:tcW w:w="1100" w:type="dxa"/>
            <w:noWrap w:val="0"/>
            <w:vAlign w:val="center"/>
          </w:tcPr>
          <w:p w14:paraId="1E4B8581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EA92C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14C4F586"/>
        </w:tc>
        <w:tc>
          <w:tcPr>
            <w:tcW w:w="5080" w:type="dxa"/>
            <w:gridSpan w:val="2"/>
            <w:noWrap w:val="0"/>
            <w:vAlign w:val="center"/>
          </w:tcPr>
          <w:p w14:paraId="69E32660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案值(万元)</w:t>
            </w:r>
          </w:p>
        </w:tc>
        <w:tc>
          <w:tcPr>
            <w:tcW w:w="1100" w:type="dxa"/>
            <w:noWrap w:val="0"/>
            <w:vAlign w:val="center"/>
          </w:tcPr>
          <w:p w14:paraId="668EB185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645E25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2AE21C55"/>
        </w:tc>
        <w:tc>
          <w:tcPr>
            <w:tcW w:w="5080" w:type="dxa"/>
            <w:gridSpan w:val="2"/>
            <w:noWrap w:val="0"/>
            <w:vAlign w:val="center"/>
          </w:tcPr>
          <w:p w14:paraId="2FFB640F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其中：网络领域案件案值(万元)</w:t>
            </w:r>
          </w:p>
        </w:tc>
        <w:tc>
          <w:tcPr>
            <w:tcW w:w="1100" w:type="dxa"/>
            <w:noWrap w:val="0"/>
            <w:vAlign w:val="center"/>
          </w:tcPr>
          <w:p w14:paraId="0F6BBDB8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67415B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2E5473FF"/>
        </w:tc>
        <w:tc>
          <w:tcPr>
            <w:tcW w:w="5080" w:type="dxa"/>
            <w:gridSpan w:val="2"/>
            <w:noWrap w:val="0"/>
            <w:vAlign w:val="center"/>
          </w:tcPr>
          <w:p w14:paraId="61071819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罚没金额(万元)</w:t>
            </w:r>
          </w:p>
        </w:tc>
        <w:tc>
          <w:tcPr>
            <w:tcW w:w="1100" w:type="dxa"/>
            <w:noWrap w:val="0"/>
            <w:vAlign w:val="center"/>
          </w:tcPr>
          <w:p w14:paraId="4B9CF531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F8DFE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20" w:hRule="atLeast"/>
        </w:trPr>
        <w:tc>
          <w:tcPr>
            <w:tcW w:w="2400" w:type="dxa"/>
            <w:vMerge w:val="continue"/>
            <w:noWrap w:val="0"/>
            <w:vAlign w:val="top"/>
          </w:tcPr>
          <w:p w14:paraId="5327C9B9"/>
        </w:tc>
        <w:tc>
          <w:tcPr>
            <w:tcW w:w="5080" w:type="dxa"/>
            <w:gridSpan w:val="2"/>
            <w:noWrap w:val="0"/>
            <w:vAlign w:val="center"/>
          </w:tcPr>
          <w:p w14:paraId="46BB50FF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其中：网络领域案件罚没金额(万元)</w:t>
            </w:r>
          </w:p>
        </w:tc>
        <w:tc>
          <w:tcPr>
            <w:tcW w:w="1100" w:type="dxa"/>
            <w:noWrap w:val="0"/>
            <w:vAlign w:val="center"/>
          </w:tcPr>
          <w:p w14:paraId="45AB5E0E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581EDF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00" w:hRule="atLeast"/>
        </w:trPr>
        <w:tc>
          <w:tcPr>
            <w:tcW w:w="2400" w:type="dxa"/>
            <w:vMerge w:val="restart"/>
            <w:noWrap w:val="0"/>
            <w:vAlign w:val="center"/>
          </w:tcPr>
          <w:p w14:paraId="02623B8B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特殊标志案件</w:t>
            </w:r>
          </w:p>
        </w:tc>
        <w:tc>
          <w:tcPr>
            <w:tcW w:w="5080" w:type="dxa"/>
            <w:gridSpan w:val="2"/>
            <w:noWrap w:val="0"/>
            <w:vAlign w:val="center"/>
          </w:tcPr>
          <w:p w14:paraId="0F88918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案件数(件)</w:t>
            </w:r>
          </w:p>
        </w:tc>
        <w:tc>
          <w:tcPr>
            <w:tcW w:w="1100" w:type="dxa"/>
            <w:noWrap w:val="0"/>
            <w:vAlign w:val="center"/>
          </w:tcPr>
          <w:p w14:paraId="0B17761C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338A9E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54D71CB2"/>
        </w:tc>
        <w:tc>
          <w:tcPr>
            <w:tcW w:w="5080" w:type="dxa"/>
            <w:gridSpan w:val="2"/>
            <w:noWrap w:val="0"/>
            <w:vAlign w:val="center"/>
          </w:tcPr>
          <w:p w14:paraId="6F5D227C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其中：网络领域案件数(件)</w:t>
            </w:r>
          </w:p>
        </w:tc>
        <w:tc>
          <w:tcPr>
            <w:tcW w:w="1100" w:type="dxa"/>
            <w:noWrap w:val="0"/>
            <w:vAlign w:val="center"/>
          </w:tcPr>
          <w:p w14:paraId="6F0A7D2E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588103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09F18047"/>
        </w:tc>
        <w:tc>
          <w:tcPr>
            <w:tcW w:w="5080" w:type="dxa"/>
            <w:gridSpan w:val="2"/>
            <w:noWrap w:val="0"/>
            <w:vAlign w:val="center"/>
          </w:tcPr>
          <w:p w14:paraId="6E37D65B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案值(万元)</w:t>
            </w:r>
          </w:p>
        </w:tc>
        <w:tc>
          <w:tcPr>
            <w:tcW w:w="1100" w:type="dxa"/>
            <w:noWrap w:val="0"/>
            <w:vAlign w:val="center"/>
          </w:tcPr>
          <w:p w14:paraId="7F5CA56F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46E16C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6CB8726C"/>
        </w:tc>
        <w:tc>
          <w:tcPr>
            <w:tcW w:w="5080" w:type="dxa"/>
            <w:gridSpan w:val="2"/>
            <w:noWrap w:val="0"/>
            <w:vAlign w:val="center"/>
          </w:tcPr>
          <w:p w14:paraId="4FEAB802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其中：网络领域案件案值(万元)</w:t>
            </w:r>
          </w:p>
        </w:tc>
        <w:tc>
          <w:tcPr>
            <w:tcW w:w="1100" w:type="dxa"/>
            <w:noWrap w:val="0"/>
            <w:vAlign w:val="center"/>
          </w:tcPr>
          <w:p w14:paraId="6D775C63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2A896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106D4D12"/>
        </w:tc>
        <w:tc>
          <w:tcPr>
            <w:tcW w:w="5080" w:type="dxa"/>
            <w:gridSpan w:val="2"/>
            <w:noWrap w:val="0"/>
            <w:vAlign w:val="center"/>
          </w:tcPr>
          <w:p w14:paraId="3F70B571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罚没金额(万元)</w:t>
            </w:r>
          </w:p>
        </w:tc>
        <w:tc>
          <w:tcPr>
            <w:tcW w:w="1100" w:type="dxa"/>
            <w:noWrap w:val="0"/>
            <w:vAlign w:val="center"/>
          </w:tcPr>
          <w:p w14:paraId="0A49D00B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6A82B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60" w:hRule="atLeast"/>
        </w:trPr>
        <w:tc>
          <w:tcPr>
            <w:tcW w:w="2400" w:type="dxa"/>
            <w:vMerge w:val="continue"/>
            <w:noWrap w:val="0"/>
            <w:vAlign w:val="top"/>
          </w:tcPr>
          <w:p w14:paraId="168C7291"/>
        </w:tc>
        <w:tc>
          <w:tcPr>
            <w:tcW w:w="5080" w:type="dxa"/>
            <w:gridSpan w:val="2"/>
            <w:noWrap w:val="0"/>
            <w:vAlign w:val="center"/>
          </w:tcPr>
          <w:p w14:paraId="77B63FF1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其中：网络领域案件罚没金额(万元)</w:t>
            </w:r>
          </w:p>
        </w:tc>
        <w:tc>
          <w:tcPr>
            <w:tcW w:w="1100" w:type="dxa"/>
            <w:noWrap w:val="0"/>
            <w:vAlign w:val="center"/>
          </w:tcPr>
          <w:p w14:paraId="509F4118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73037F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40" w:hRule="atLeast"/>
        </w:trPr>
        <w:tc>
          <w:tcPr>
            <w:tcW w:w="2400" w:type="dxa"/>
            <w:vMerge w:val="restart"/>
            <w:noWrap w:val="0"/>
            <w:vAlign w:val="center"/>
          </w:tcPr>
          <w:p w14:paraId="76E72AB5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奥林匹克标志案件</w:t>
            </w:r>
          </w:p>
        </w:tc>
        <w:tc>
          <w:tcPr>
            <w:tcW w:w="5080" w:type="dxa"/>
            <w:gridSpan w:val="2"/>
            <w:noWrap w:val="0"/>
            <w:vAlign w:val="center"/>
          </w:tcPr>
          <w:p w14:paraId="0B22A9B0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案件数(件)</w:t>
            </w:r>
          </w:p>
        </w:tc>
        <w:tc>
          <w:tcPr>
            <w:tcW w:w="1100" w:type="dxa"/>
            <w:noWrap w:val="0"/>
            <w:vAlign w:val="center"/>
          </w:tcPr>
          <w:p w14:paraId="614FDFC6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63E2FA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00" w:hRule="atLeast"/>
        </w:trPr>
        <w:tc>
          <w:tcPr>
            <w:tcW w:w="2400" w:type="dxa"/>
            <w:vMerge w:val="continue"/>
            <w:noWrap w:val="0"/>
            <w:vAlign w:val="top"/>
          </w:tcPr>
          <w:p w14:paraId="0567DB61"/>
        </w:tc>
        <w:tc>
          <w:tcPr>
            <w:tcW w:w="5080" w:type="dxa"/>
            <w:gridSpan w:val="2"/>
            <w:noWrap w:val="0"/>
            <w:vAlign w:val="center"/>
          </w:tcPr>
          <w:p w14:paraId="114C017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其中：网络领域案件数(件)</w:t>
            </w:r>
          </w:p>
        </w:tc>
        <w:tc>
          <w:tcPr>
            <w:tcW w:w="1100" w:type="dxa"/>
            <w:noWrap w:val="0"/>
            <w:vAlign w:val="center"/>
          </w:tcPr>
          <w:p w14:paraId="74AC903C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B5A08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00" w:hRule="atLeast"/>
        </w:trPr>
        <w:tc>
          <w:tcPr>
            <w:tcW w:w="2400" w:type="dxa"/>
            <w:vMerge w:val="continue"/>
            <w:noWrap w:val="0"/>
            <w:vAlign w:val="top"/>
          </w:tcPr>
          <w:p w14:paraId="738EF1E4"/>
        </w:tc>
        <w:tc>
          <w:tcPr>
            <w:tcW w:w="5080" w:type="dxa"/>
            <w:gridSpan w:val="2"/>
            <w:noWrap w:val="0"/>
            <w:vAlign w:val="center"/>
          </w:tcPr>
          <w:p w14:paraId="78A3E97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案值(万元)</w:t>
            </w:r>
          </w:p>
        </w:tc>
        <w:tc>
          <w:tcPr>
            <w:tcW w:w="1100" w:type="dxa"/>
            <w:noWrap w:val="0"/>
            <w:vAlign w:val="center"/>
          </w:tcPr>
          <w:p w14:paraId="58745941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23F0A9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3D4C20AC"/>
        </w:tc>
        <w:tc>
          <w:tcPr>
            <w:tcW w:w="5080" w:type="dxa"/>
            <w:gridSpan w:val="2"/>
            <w:noWrap w:val="0"/>
            <w:vAlign w:val="center"/>
          </w:tcPr>
          <w:p w14:paraId="119CB1C9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其中：网络领域案件案值(万元)</w:t>
            </w:r>
          </w:p>
        </w:tc>
        <w:tc>
          <w:tcPr>
            <w:tcW w:w="1100" w:type="dxa"/>
            <w:noWrap w:val="0"/>
            <w:vAlign w:val="center"/>
          </w:tcPr>
          <w:p w14:paraId="6D61BE6C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049D54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20" w:hRule="atLeast"/>
        </w:trPr>
        <w:tc>
          <w:tcPr>
            <w:tcW w:w="2400" w:type="dxa"/>
            <w:vMerge w:val="continue"/>
            <w:noWrap w:val="0"/>
            <w:vAlign w:val="top"/>
          </w:tcPr>
          <w:p w14:paraId="732E6C49"/>
        </w:tc>
        <w:tc>
          <w:tcPr>
            <w:tcW w:w="5080" w:type="dxa"/>
            <w:gridSpan w:val="2"/>
            <w:noWrap w:val="0"/>
            <w:vAlign w:val="center"/>
          </w:tcPr>
          <w:p w14:paraId="57BFF53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罚没金额(万元)</w:t>
            </w:r>
          </w:p>
        </w:tc>
        <w:tc>
          <w:tcPr>
            <w:tcW w:w="1100" w:type="dxa"/>
            <w:noWrap w:val="0"/>
            <w:vAlign w:val="center"/>
          </w:tcPr>
          <w:p w14:paraId="123E67E8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 w14:paraId="06A557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80" w:hRule="atLeast"/>
        </w:trPr>
        <w:tc>
          <w:tcPr>
            <w:tcW w:w="2400" w:type="dxa"/>
            <w:vMerge w:val="continue"/>
            <w:noWrap w:val="0"/>
            <w:vAlign w:val="top"/>
          </w:tcPr>
          <w:p w14:paraId="41C67C01"/>
        </w:tc>
        <w:tc>
          <w:tcPr>
            <w:tcW w:w="5080" w:type="dxa"/>
            <w:gridSpan w:val="2"/>
            <w:noWrap w:val="0"/>
            <w:vAlign w:val="center"/>
          </w:tcPr>
          <w:p w14:paraId="6307F09C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其中：网络领域案件罚没金额(万元)</w:t>
            </w:r>
          </w:p>
        </w:tc>
        <w:tc>
          <w:tcPr>
            <w:tcW w:w="1100" w:type="dxa"/>
            <w:noWrap w:val="0"/>
            <w:vAlign w:val="center"/>
          </w:tcPr>
          <w:p w14:paraId="501CE091"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</w:tbl>
    <w:p w14:paraId="5829598E">
      <w:pPr>
        <w:wordWrap/>
        <w:autoSpaceDE w:val="0"/>
        <w:autoSpaceDN w:val="0"/>
        <w:spacing w:before="140" w:after="0" w:line="280" w:lineRule="atLeast"/>
        <w:ind w:left="0" w:leftChars="0" w:right="-92" w:rightChars="-44" w:firstLine="0" w:firstLineChars="0"/>
        <w:jc w:val="both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注：</w:t>
      </w:r>
    </w:p>
    <w:p w14:paraId="4BAF2439">
      <w:pPr>
        <w:wordWrap/>
        <w:autoSpaceDE w:val="0"/>
        <w:autoSpaceDN w:val="0"/>
        <w:spacing w:before="20" w:after="0" w:line="320" w:lineRule="atLeast"/>
        <w:ind w:left="0" w:leftChars="0" w:right="-92" w:rightChars="-44" w:firstLine="0" w:firstLineChars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　　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1.上述案件是指辖区内知识产权管理部门通过作出行政批复或答复、参与会商研讨、会同办理等方式进行专业指导，且执法部门立案查处的案件，而非辖区内市场监管综合执法队伍承办的全部知识产权案件。为确保数据准确，填报数据原则上需要有案件信息列表、行政处罚决定书(不予行政处罚决定书)等材料支撑。</w:t>
      </w:r>
    </w:p>
    <w:p w14:paraId="1285A852">
      <w:pPr>
        <w:wordWrap/>
        <w:autoSpaceDE w:val="0"/>
        <w:autoSpaceDN w:val="0"/>
        <w:spacing w:before="0" w:after="0" w:line="320" w:lineRule="atLeast"/>
        <w:ind w:left="0" w:leftChars="0" w:right="-92" w:rightChars="-44" w:firstLine="0" w:firstLineChars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　　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2.“网络领域案件”是指利用互联网实施侵权违法行为的案件，“涉民营企业案件”是指商标权利人为民营企业的案件，“涉外资企业案件”是指商标权利人为外国企业或者外资企业的案件，“涉驰名商标案件”是指保护的商标为有行政认定记录、或者请求驰名商标保护的案件，“涉中华老字号案件”是指商标权利人为中华老字号企业、且保护的商标与中华老字号品牌一致的案件。同一案件同时符合上述两项及以上情形的，可以重复计算。</w:t>
      </w:r>
    </w:p>
    <w:p w14:paraId="422887AA">
      <w:pPr>
        <w:wordWrap/>
        <w:autoSpaceDE w:val="0"/>
        <w:autoSpaceDN w:val="0"/>
        <w:spacing w:before="40" w:after="0" w:line="300" w:lineRule="atLeast"/>
        <w:ind w:left="0" w:leftChars="0" w:right="-92" w:rightChars="-44" w:firstLine="0" w:firstLineChars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　　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3.辖区内知识产权管理部门指导查办的重大典型案件，可在该案办结后及时将案件基本情况和行政处罚决定书 (不予行政处罚决定书)、案件调查终结报告等案件材料扫描件报送至联系邮箱。</w:t>
      </w:r>
    </w:p>
    <w:p w14:paraId="3B70816F">
      <w:pPr>
        <w:rPr>
          <w:rFonts w:hint="eastAsia"/>
        </w:rPr>
      </w:pPr>
    </w:p>
    <w:p w14:paraId="021C83A3"/>
    <w:p w14:paraId="13F8FE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50C43"/>
    <w:rsid w:val="6D1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2025-04-07T08:00:00Z</dcterms:created>
  <dc:creator>（＾Ｏ＾☆♪晶晶 </dc:creator>
  <cp:lastModifiedBy>（＾Ｏ＾☆♪晶晶 </cp:lastModifiedBy>
  <dcterms:modified xsi:type="dcterms:W3CDTF">2025-04-07T08:00:20Z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ACA160B87158440BBF8CFBB8BFF4FECD_11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