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6AC3B">
      <w:pPr>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附件１</w:t>
      </w:r>
    </w:p>
    <w:p w14:paraId="657B78E3">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2025年</w:t>
      </w:r>
      <w:r>
        <w:rPr>
          <w:rFonts w:hint="eastAsia" w:ascii="方正小标宋简体" w:hAnsi="方正小标宋简体" w:eastAsia="方正小标宋简体" w:cs="方正小标宋简体"/>
          <w:sz w:val="36"/>
          <w:szCs w:val="36"/>
          <w:lang w:eastAsia="zh-CN"/>
        </w:rPr>
        <w:t>山西省</w:t>
      </w:r>
      <w:r>
        <w:rPr>
          <w:rFonts w:hint="eastAsia" w:ascii="方正小标宋简体" w:hAnsi="方正小标宋简体" w:eastAsia="方正小标宋简体" w:cs="方正小标宋简体"/>
          <w:sz w:val="36"/>
          <w:szCs w:val="36"/>
        </w:rPr>
        <w:t>知识产权行政保护工作</w:t>
      </w:r>
      <w:r>
        <w:rPr>
          <w:rFonts w:hint="eastAsia" w:ascii="方正小标宋简体" w:hAnsi="方正小标宋简体" w:eastAsia="方正小标宋简体" w:cs="方正小标宋简体"/>
          <w:sz w:val="36"/>
          <w:szCs w:val="36"/>
          <w:lang w:eastAsia="zh-CN"/>
        </w:rPr>
        <w:t>实施</w:t>
      </w:r>
      <w:r>
        <w:rPr>
          <w:rFonts w:hint="eastAsia" w:ascii="方正小标宋简体" w:hAnsi="方正小标宋简体" w:eastAsia="方正小标宋简体" w:cs="方正小标宋简体"/>
          <w:sz w:val="36"/>
          <w:szCs w:val="36"/>
        </w:rPr>
        <w:t>方案</w:t>
      </w:r>
    </w:p>
    <w:p w14:paraId="7EAFB3AA">
      <w:pPr>
        <w:jc w:val="center"/>
        <w:rPr>
          <w:rFonts w:hint="eastAsia" w:ascii="CESI仿宋-GB2312" w:hAnsi="CESI仿宋-GB2312" w:eastAsia="CESI仿宋-GB2312" w:cs="CESI仿宋-GB2312"/>
          <w:sz w:val="32"/>
          <w:szCs w:val="32"/>
        </w:rPr>
      </w:pPr>
    </w:p>
    <w:p w14:paraId="43926E4D">
      <w:pPr>
        <w:rPr>
          <w:rFonts w:hint="eastAsia" w:ascii="华文仿宋" w:hAnsi="华文仿宋" w:eastAsia="华文仿宋" w:cs="华文仿宋"/>
          <w:sz w:val="32"/>
          <w:szCs w:val="32"/>
          <w:lang w:val="en-US" w:eastAsia="en-US"/>
        </w:rPr>
      </w:pPr>
      <w:r>
        <w:rPr>
          <w:rFonts w:hint="eastAsia" w:ascii="CESI仿宋-GB2312" w:hAnsi="CESI仿宋-GB2312" w:eastAsia="CESI仿宋-GB2312" w:cs="CESI仿宋-GB2312"/>
          <w:sz w:val="32"/>
          <w:szCs w:val="32"/>
          <w:lang w:eastAsia="zh-CN"/>
        </w:rPr>
        <w:t>　　</w:t>
      </w:r>
      <w:r>
        <w:rPr>
          <w:rFonts w:hint="eastAsia" w:ascii="华文仿宋" w:hAnsi="华文仿宋" w:eastAsia="华文仿宋" w:cs="华文仿宋"/>
          <w:sz w:val="32"/>
          <w:szCs w:val="32"/>
          <w:lang w:val="en-US" w:eastAsia="zh-CN"/>
        </w:rPr>
        <w:t>为深入贯彻习近平总书记关于全面加强知识产权保护工作的重要指示批示精神，坚决落实党中央、国务院及省委、省政府</w:t>
      </w:r>
      <w:r>
        <w:rPr>
          <w:rFonts w:hint="eastAsia" w:ascii="华文仿宋" w:hAnsi="华文仿宋" w:eastAsia="华文仿宋" w:cs="华文仿宋"/>
          <w:sz w:val="32"/>
          <w:szCs w:val="32"/>
          <w:lang w:val="en-US" w:eastAsia="en-US"/>
        </w:rPr>
        <w:t>决策部署，</w:t>
      </w:r>
      <w:r>
        <w:rPr>
          <w:rFonts w:hint="eastAsia" w:ascii="华文仿宋" w:hAnsi="华文仿宋" w:eastAsia="华文仿宋" w:cs="华文仿宋"/>
          <w:sz w:val="32"/>
          <w:szCs w:val="32"/>
          <w:lang w:val="en-US" w:eastAsia="zh-CN"/>
        </w:rPr>
        <w:t>认真落实</w:t>
      </w:r>
      <w:r>
        <w:rPr>
          <w:rFonts w:hint="eastAsia" w:ascii="华文仿宋" w:hAnsi="华文仿宋" w:eastAsia="华文仿宋" w:cs="华文仿宋"/>
          <w:sz w:val="32"/>
          <w:szCs w:val="32"/>
          <w:lang w:val="en-US" w:eastAsia="en-US"/>
        </w:rPr>
        <w:t>全国知识产权局局长会议</w:t>
      </w:r>
      <w:r>
        <w:rPr>
          <w:rFonts w:hint="default" w:ascii="华文仿宋" w:hAnsi="华文仿宋" w:eastAsia="华文仿宋" w:cs="华文仿宋"/>
          <w:sz w:val="32"/>
          <w:szCs w:val="32"/>
          <w:lang w:val="en-US" w:eastAsia="zh-CN"/>
        </w:rPr>
        <w:t>和山西省市场监管暨知识产权工作会议精神</w:t>
      </w:r>
      <w:r>
        <w:rPr>
          <w:rFonts w:hint="eastAsia" w:ascii="华文仿宋" w:hAnsi="华文仿宋" w:eastAsia="华文仿宋" w:cs="华文仿宋"/>
          <w:sz w:val="32"/>
          <w:szCs w:val="32"/>
          <w:lang w:val="en-US" w:eastAsia="en-US"/>
        </w:rPr>
        <w:t>，切实加强知识产权行政保护工作，优化创新环境和营商环境，推动</w:t>
      </w:r>
      <w:r>
        <w:rPr>
          <w:rFonts w:hint="eastAsia" w:ascii="华文仿宋" w:hAnsi="华文仿宋" w:eastAsia="华文仿宋" w:cs="华文仿宋"/>
          <w:sz w:val="32"/>
          <w:szCs w:val="32"/>
          <w:lang w:val="en-US" w:eastAsia="zh-CN"/>
        </w:rPr>
        <w:t>全省</w:t>
      </w:r>
      <w:r>
        <w:rPr>
          <w:rFonts w:hint="eastAsia" w:ascii="华文仿宋" w:hAnsi="华文仿宋" w:eastAsia="华文仿宋" w:cs="华文仿宋"/>
          <w:sz w:val="32"/>
          <w:szCs w:val="32"/>
          <w:lang w:val="en-US" w:eastAsia="en-US"/>
        </w:rPr>
        <w:t>经济高质量</w:t>
      </w:r>
      <w:r>
        <w:rPr>
          <w:rFonts w:hint="eastAsia" w:ascii="华文仿宋" w:hAnsi="华文仿宋" w:eastAsia="华文仿宋" w:cs="华文仿宋"/>
          <w:sz w:val="32"/>
          <w:szCs w:val="32"/>
          <w:lang w:val="en-US" w:eastAsia="zh-CN"/>
        </w:rPr>
        <w:t>转型</w:t>
      </w:r>
      <w:r>
        <w:rPr>
          <w:rFonts w:hint="eastAsia" w:ascii="华文仿宋" w:hAnsi="华文仿宋" w:eastAsia="华文仿宋" w:cs="华文仿宋"/>
          <w:sz w:val="32"/>
          <w:szCs w:val="32"/>
          <w:lang w:val="en-US" w:eastAsia="en-US"/>
        </w:rPr>
        <w:t>发展，</w:t>
      </w:r>
      <w:r>
        <w:rPr>
          <w:rFonts w:hint="default" w:ascii="华文仿宋" w:hAnsi="华文仿宋" w:eastAsia="华文仿宋" w:cs="华文仿宋"/>
          <w:sz w:val="32"/>
          <w:szCs w:val="32"/>
          <w:lang w:val="en-US" w:eastAsia="zh-CN"/>
        </w:rPr>
        <w:t>按照国家知识产权局</w:t>
      </w:r>
      <w:r>
        <w:rPr>
          <w:rFonts w:hint="eastAsia" w:ascii="华文仿宋" w:hAnsi="华文仿宋" w:eastAsia="华文仿宋" w:cs="华文仿宋"/>
          <w:sz w:val="32"/>
          <w:szCs w:val="32"/>
          <w:lang w:val="en-US" w:eastAsia="zh-CN"/>
        </w:rPr>
        <w:t>关于印发</w:t>
      </w:r>
      <w:r>
        <w:rPr>
          <w:rFonts w:hint="default"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val="en-US" w:eastAsia="zh-CN"/>
        </w:rPr>
        <w:t>2025</w:t>
      </w:r>
      <w:r>
        <w:rPr>
          <w:rFonts w:hint="default" w:ascii="华文仿宋" w:hAnsi="华文仿宋" w:eastAsia="华文仿宋" w:cs="华文仿宋"/>
          <w:sz w:val="32"/>
          <w:szCs w:val="32"/>
          <w:lang w:val="en-US" w:eastAsia="zh-CN"/>
        </w:rPr>
        <w:t>年知识产权行政保护工作方案》</w:t>
      </w:r>
      <w:r>
        <w:rPr>
          <w:rFonts w:hint="eastAsia" w:ascii="华文仿宋" w:hAnsi="华文仿宋" w:eastAsia="华文仿宋" w:cs="华文仿宋"/>
          <w:sz w:val="32"/>
          <w:szCs w:val="32"/>
          <w:lang w:val="en-US" w:eastAsia="zh-CN"/>
        </w:rPr>
        <w:t>的通知</w:t>
      </w:r>
      <w:r>
        <w:rPr>
          <w:rFonts w:hint="default" w:ascii="华文仿宋" w:hAnsi="华文仿宋" w:eastAsia="华文仿宋" w:cs="华文仿宋"/>
          <w:sz w:val="32"/>
          <w:szCs w:val="32"/>
          <w:lang w:val="en-US" w:eastAsia="zh-CN"/>
        </w:rPr>
        <w:t>（国知发保字〔202</w:t>
      </w:r>
      <w:r>
        <w:rPr>
          <w:rFonts w:hint="eastAsia" w:ascii="华文仿宋" w:hAnsi="华文仿宋" w:eastAsia="华文仿宋" w:cs="华文仿宋"/>
          <w:sz w:val="32"/>
          <w:szCs w:val="32"/>
          <w:lang w:val="en-US" w:eastAsia="zh-CN"/>
        </w:rPr>
        <w:t>5</w:t>
      </w:r>
      <w:r>
        <w:rPr>
          <w:rFonts w:hint="default"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val="en-US" w:eastAsia="zh-CN"/>
        </w:rPr>
        <w:t>4</w:t>
      </w:r>
      <w:r>
        <w:rPr>
          <w:rFonts w:hint="default" w:ascii="华文仿宋" w:hAnsi="华文仿宋" w:eastAsia="华文仿宋" w:cs="华文仿宋"/>
          <w:sz w:val="32"/>
          <w:szCs w:val="32"/>
          <w:lang w:val="en-US" w:eastAsia="zh-CN"/>
        </w:rPr>
        <w:t>号），</w:t>
      </w:r>
      <w:r>
        <w:rPr>
          <w:rFonts w:hint="eastAsia" w:ascii="华文仿宋" w:hAnsi="华文仿宋" w:eastAsia="华文仿宋" w:cs="华文仿宋"/>
          <w:sz w:val="32"/>
          <w:szCs w:val="32"/>
          <w:lang w:val="en-US" w:eastAsia="en-US"/>
        </w:rPr>
        <w:t>制定</w:t>
      </w:r>
      <w:r>
        <w:rPr>
          <w:rFonts w:hint="eastAsia" w:ascii="华文仿宋" w:hAnsi="华文仿宋" w:eastAsia="华文仿宋" w:cs="华文仿宋"/>
          <w:sz w:val="32"/>
          <w:szCs w:val="32"/>
          <w:lang w:val="en-US" w:eastAsia="zh-CN"/>
        </w:rPr>
        <w:t>实施</w:t>
      </w:r>
      <w:r>
        <w:rPr>
          <w:rFonts w:hint="eastAsia" w:ascii="华文仿宋" w:hAnsi="华文仿宋" w:eastAsia="华文仿宋" w:cs="华文仿宋"/>
          <w:sz w:val="32"/>
          <w:szCs w:val="32"/>
          <w:lang w:val="en-US" w:eastAsia="en-US"/>
        </w:rPr>
        <w:t>方案</w:t>
      </w:r>
      <w:r>
        <w:rPr>
          <w:rFonts w:hint="eastAsia" w:ascii="华文仿宋" w:hAnsi="华文仿宋" w:eastAsia="华文仿宋" w:cs="华文仿宋"/>
          <w:sz w:val="32"/>
          <w:szCs w:val="32"/>
          <w:lang w:val="en-US" w:eastAsia="zh-CN"/>
        </w:rPr>
        <w:t>如下。</w:t>
      </w:r>
    </w:p>
    <w:p w14:paraId="19EDD5AF">
      <w:pPr>
        <w:keepNext w:val="0"/>
        <w:keepLines w:val="0"/>
        <w:pageBreakBefore w:val="0"/>
        <w:widowControl/>
        <w:kinsoku w:val="0"/>
        <w:wordWrap/>
        <w:overflowPunct/>
        <w:topLinePunct w:val="0"/>
        <w:autoSpaceDE w:val="0"/>
        <w:autoSpaceDN w:val="0"/>
        <w:bidi w:val="0"/>
        <w:adjustRightInd w:val="0"/>
        <w:snapToGrid w:val="0"/>
        <w:spacing w:line="560" w:lineRule="exact"/>
        <w:ind w:left="646"/>
        <w:textAlignment w:val="baseline"/>
        <w:rPr>
          <w:rFonts w:ascii="黑体" w:hAnsi="黑体" w:eastAsia="黑体" w:cs="黑体"/>
          <w:sz w:val="31"/>
          <w:szCs w:val="31"/>
        </w:rPr>
      </w:pPr>
      <w:r>
        <w:rPr>
          <w:rFonts w:ascii="黑体" w:hAnsi="黑体" w:eastAsia="黑体" w:cs="黑体"/>
          <w:color w:val="343434"/>
          <w:spacing w:val="5"/>
          <w:sz w:val="32"/>
          <w:szCs w:val="32"/>
        </w:rPr>
        <w:t>一、总体要求</w:t>
      </w:r>
    </w:p>
    <w:p w14:paraId="24BC13BA">
      <w:pPr>
        <w:ind w:firstLine="640" w:firstLineChars="200"/>
        <w:rPr>
          <w:rFonts w:hint="default"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坚持以习近平新时代中国特色社会主义思想为指导，全面贯彻落实党的二十大</w:t>
      </w:r>
      <w:r>
        <w:rPr>
          <w:rFonts w:hint="eastAsia" w:ascii="华文仿宋" w:hAnsi="华文仿宋" w:eastAsia="华文仿宋" w:cs="华文仿宋"/>
          <w:sz w:val="32"/>
          <w:szCs w:val="32"/>
          <w:lang w:val="en-US" w:eastAsia="zh-CN"/>
        </w:rPr>
        <w:t>、二十届三中全会</w:t>
      </w:r>
      <w:r>
        <w:rPr>
          <w:rFonts w:hint="default" w:ascii="华文仿宋" w:hAnsi="华文仿宋" w:eastAsia="华文仿宋" w:cs="华文仿宋"/>
          <w:sz w:val="32"/>
          <w:szCs w:val="32"/>
          <w:lang w:val="en-US" w:eastAsia="zh-CN"/>
        </w:rPr>
        <w:t>精神，</w:t>
      </w:r>
      <w:r>
        <w:rPr>
          <w:rFonts w:hint="eastAsia" w:ascii="华文仿宋" w:hAnsi="华文仿宋" w:eastAsia="华文仿宋" w:cs="华文仿宋"/>
          <w:sz w:val="32"/>
          <w:szCs w:val="32"/>
          <w:lang w:val="en-US" w:eastAsia="zh-CN"/>
        </w:rPr>
        <w:t>深入推进</w:t>
      </w:r>
      <w:r>
        <w:rPr>
          <w:rFonts w:hint="default" w:ascii="华文仿宋" w:hAnsi="华文仿宋" w:eastAsia="华文仿宋" w:cs="华文仿宋"/>
          <w:sz w:val="32"/>
          <w:szCs w:val="32"/>
          <w:lang w:val="en-US" w:eastAsia="zh-CN"/>
        </w:rPr>
        <w:t>《知识产权强</w:t>
      </w:r>
      <w:r>
        <w:rPr>
          <w:rFonts w:hint="eastAsia" w:ascii="华文仿宋" w:hAnsi="华文仿宋" w:eastAsia="华文仿宋" w:cs="华文仿宋"/>
          <w:sz w:val="32"/>
          <w:szCs w:val="32"/>
          <w:lang w:val="en-US" w:eastAsia="zh-CN"/>
        </w:rPr>
        <w:t>省</w:t>
      </w:r>
      <w:r>
        <w:rPr>
          <w:rFonts w:hint="default" w:ascii="华文仿宋" w:hAnsi="华文仿宋" w:eastAsia="华文仿宋" w:cs="华文仿宋"/>
          <w:sz w:val="32"/>
          <w:szCs w:val="32"/>
          <w:lang w:val="en-US" w:eastAsia="zh-CN"/>
        </w:rPr>
        <w:t xml:space="preserve">建设纲要》《 </w:t>
      </w:r>
      <w:r>
        <w:rPr>
          <w:rFonts w:hint="eastAsia" w:ascii="华文仿宋" w:hAnsi="华文仿宋" w:eastAsia="华文仿宋" w:cs="华文仿宋"/>
          <w:sz w:val="32"/>
          <w:szCs w:val="32"/>
          <w:lang w:val="en-US" w:eastAsia="zh-CN"/>
        </w:rPr>
        <w:t>山西省“十四五”</w:t>
      </w:r>
      <w:r>
        <w:rPr>
          <w:rFonts w:hint="default" w:ascii="华文仿宋" w:hAnsi="华文仿宋" w:eastAsia="华文仿宋" w:cs="华文仿宋"/>
          <w:sz w:val="32"/>
          <w:szCs w:val="32"/>
          <w:lang w:val="en-US" w:eastAsia="zh-CN"/>
        </w:rPr>
        <w:t>知识产权保护和运用规划》《关于强化知识产权保护的实施意见》</w:t>
      </w:r>
      <w:r>
        <w:rPr>
          <w:rFonts w:hint="eastAsia" w:ascii="华文仿宋" w:hAnsi="华文仿宋" w:eastAsia="华文仿宋" w:cs="华文仿宋"/>
          <w:sz w:val="32"/>
          <w:szCs w:val="32"/>
          <w:lang w:val="en-US" w:eastAsia="zh-CN"/>
        </w:rPr>
        <w:t>等实施</w:t>
      </w:r>
      <w:r>
        <w:rPr>
          <w:rFonts w:hint="default"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val="en-US" w:eastAsia="zh-CN"/>
        </w:rPr>
        <w:t>持续</w:t>
      </w:r>
      <w:r>
        <w:rPr>
          <w:rFonts w:hint="default" w:ascii="华文仿宋" w:hAnsi="华文仿宋" w:eastAsia="华文仿宋" w:cs="华文仿宋"/>
          <w:sz w:val="32"/>
          <w:szCs w:val="32"/>
          <w:lang w:val="en-US" w:eastAsia="zh-CN"/>
        </w:rPr>
        <w:t>强化法治保障</w:t>
      </w:r>
      <w:r>
        <w:rPr>
          <w:rFonts w:hint="eastAsia" w:ascii="华文仿宋" w:hAnsi="华文仿宋" w:eastAsia="华文仿宋" w:cs="华文仿宋"/>
          <w:sz w:val="32"/>
          <w:szCs w:val="32"/>
          <w:lang w:val="en-US" w:eastAsia="zh-CN"/>
        </w:rPr>
        <w:t>，</w:t>
      </w:r>
      <w:r>
        <w:rPr>
          <w:rFonts w:hint="default" w:ascii="华文仿宋" w:hAnsi="华文仿宋" w:eastAsia="华文仿宋" w:cs="华文仿宋"/>
          <w:sz w:val="32"/>
          <w:szCs w:val="32"/>
          <w:lang w:val="en-US" w:eastAsia="zh-CN"/>
        </w:rPr>
        <w:t>全面加强知识产权行政保护，</w:t>
      </w:r>
      <w:r>
        <w:rPr>
          <w:rFonts w:hint="eastAsia" w:ascii="华文仿宋" w:hAnsi="华文仿宋" w:eastAsia="华文仿宋" w:cs="华文仿宋"/>
          <w:sz w:val="32"/>
          <w:szCs w:val="32"/>
          <w:lang w:val="en-US" w:eastAsia="zh-CN"/>
        </w:rPr>
        <w:t>继续加大对重点领域、关键环节侵犯知识产权的打击和治理力度，不断提升知识产权全链条保</w:t>
      </w:r>
      <w:r>
        <w:rPr>
          <w:rFonts w:hint="default" w:ascii="华文仿宋" w:hAnsi="华文仿宋" w:eastAsia="华文仿宋" w:cs="华文仿宋"/>
          <w:sz w:val="32"/>
          <w:szCs w:val="32"/>
          <w:lang w:val="en-US" w:eastAsia="zh-CN"/>
        </w:rPr>
        <w:t>护水平，为加快推进知识产权强</w:t>
      </w:r>
      <w:r>
        <w:rPr>
          <w:rFonts w:hint="eastAsia" w:ascii="华文仿宋" w:hAnsi="华文仿宋" w:eastAsia="华文仿宋" w:cs="华文仿宋"/>
          <w:sz w:val="32"/>
          <w:szCs w:val="32"/>
          <w:lang w:val="en-US" w:eastAsia="zh-CN"/>
        </w:rPr>
        <w:t>省</w:t>
      </w:r>
      <w:r>
        <w:rPr>
          <w:rFonts w:hint="default" w:ascii="华文仿宋" w:hAnsi="华文仿宋" w:eastAsia="华文仿宋" w:cs="华文仿宋"/>
          <w:sz w:val="32"/>
          <w:szCs w:val="32"/>
          <w:lang w:val="en-US" w:eastAsia="zh-CN"/>
        </w:rPr>
        <w:t>建设提供有力</w:t>
      </w:r>
      <w:r>
        <w:rPr>
          <w:rFonts w:hint="eastAsia" w:ascii="华文仿宋" w:hAnsi="华文仿宋" w:eastAsia="华文仿宋" w:cs="华文仿宋"/>
          <w:sz w:val="32"/>
          <w:szCs w:val="32"/>
          <w:lang w:val="en-US" w:eastAsia="zh-CN"/>
        </w:rPr>
        <w:t>支撑。</w:t>
      </w:r>
    </w:p>
    <w:p w14:paraId="0C9A2277">
      <w:pPr>
        <w:keepNext w:val="0"/>
        <w:keepLines w:val="0"/>
        <w:pageBreakBefore w:val="0"/>
        <w:widowControl/>
        <w:kinsoku w:val="0"/>
        <w:wordWrap/>
        <w:overflowPunct/>
        <w:topLinePunct w:val="0"/>
        <w:autoSpaceDE w:val="0"/>
        <w:autoSpaceDN w:val="0"/>
        <w:bidi w:val="0"/>
        <w:adjustRightInd w:val="0"/>
        <w:snapToGrid w:val="0"/>
        <w:spacing w:line="560" w:lineRule="exact"/>
        <w:ind w:left="646"/>
        <w:textAlignment w:val="baseline"/>
        <w:rPr>
          <w:rFonts w:ascii="黑体" w:hAnsi="黑体" w:eastAsia="黑体" w:cs="黑体"/>
          <w:color w:val="343434"/>
          <w:spacing w:val="5"/>
          <w:sz w:val="31"/>
          <w:szCs w:val="31"/>
        </w:rPr>
      </w:pPr>
      <w:r>
        <w:rPr>
          <w:rFonts w:ascii="黑体" w:hAnsi="黑体" w:eastAsia="黑体" w:cs="黑体"/>
          <w:color w:val="343434"/>
          <w:spacing w:val="5"/>
          <w:sz w:val="32"/>
          <w:szCs w:val="32"/>
        </w:rPr>
        <w:t>二、主要任务</w:t>
      </w:r>
    </w:p>
    <w:p w14:paraId="0E2BA31B">
      <w:pPr>
        <w:keepNext w:val="0"/>
        <w:keepLines w:val="0"/>
        <w:pageBreakBefore w:val="0"/>
        <w:widowControl/>
        <w:kinsoku w:val="0"/>
        <w:wordWrap/>
        <w:overflowPunct/>
        <w:topLinePunct w:val="0"/>
        <w:autoSpaceDE w:val="0"/>
        <w:autoSpaceDN w:val="0"/>
        <w:bidi w:val="0"/>
        <w:adjustRightInd w:val="0"/>
        <w:snapToGrid w:val="0"/>
        <w:spacing w:line="560" w:lineRule="exact"/>
        <w:ind w:left="1" w:right="207" w:firstLine="640"/>
        <w:jc w:val="both"/>
        <w:textAlignment w:val="baseline"/>
        <w:rPr>
          <w:rFonts w:ascii="楷体" w:hAnsi="楷体" w:eastAsia="楷体" w:cs="楷体"/>
          <w:b/>
          <w:bCs/>
          <w:spacing w:val="6"/>
          <w:sz w:val="32"/>
          <w:szCs w:val="32"/>
        </w:rPr>
      </w:pPr>
      <w:r>
        <w:rPr>
          <w:rFonts w:ascii="楷体" w:hAnsi="楷体" w:eastAsia="楷体" w:cs="楷体"/>
          <w:b/>
          <w:bCs/>
          <w:spacing w:val="6"/>
          <w:sz w:val="32"/>
          <w:szCs w:val="32"/>
        </w:rPr>
        <w:t>（一）加强行政保护法治保障</w:t>
      </w:r>
    </w:p>
    <w:p w14:paraId="694A5EC6">
      <w:pPr>
        <w:rPr>
          <w:rFonts w:hint="eastAsia" w:ascii="华文仿宋" w:hAnsi="华文仿宋" w:eastAsia="华文仿宋" w:cs="华文仿宋"/>
          <w:sz w:val="32"/>
          <w:szCs w:val="32"/>
          <w:lang w:val="en-US" w:eastAsia="zh-CN"/>
        </w:rPr>
      </w:pPr>
      <w:r>
        <w:rPr>
          <w:rFonts w:hint="eastAsia" w:ascii="CESI仿宋-GB2312" w:hAnsi="CESI仿宋-GB2312" w:eastAsia="CESI仿宋-GB2312" w:cs="CESI仿宋-GB2312"/>
          <w:sz w:val="32"/>
          <w:szCs w:val="32"/>
          <w:lang w:eastAsia="zh-CN"/>
        </w:rPr>
        <w:t>　　</w:t>
      </w:r>
      <w:r>
        <w:rPr>
          <w:rFonts w:hint="eastAsia" w:ascii="华文仿宋" w:hAnsi="华文仿宋" w:eastAsia="华文仿宋" w:cs="华文仿宋"/>
          <w:b/>
          <w:bCs/>
          <w:sz w:val="32"/>
          <w:szCs w:val="32"/>
          <w:lang w:val="en-US" w:eastAsia="zh-CN"/>
        </w:rPr>
        <w:t>1.推动新修订的法律法规实施。</w:t>
      </w:r>
      <w:r>
        <w:rPr>
          <w:rFonts w:hint="eastAsia" w:ascii="华文仿宋" w:hAnsi="华文仿宋" w:eastAsia="华文仿宋" w:cs="华文仿宋"/>
          <w:sz w:val="32"/>
          <w:szCs w:val="32"/>
          <w:lang w:val="en-US" w:eastAsia="zh-CN"/>
        </w:rPr>
        <w:t>加强对</w:t>
      </w:r>
      <w:r>
        <w:rPr>
          <w:rFonts w:hint="default" w:ascii="华文仿宋" w:hAnsi="华文仿宋" w:eastAsia="华文仿宋" w:cs="华文仿宋"/>
          <w:sz w:val="32"/>
          <w:szCs w:val="32"/>
          <w:lang w:val="en-US" w:eastAsia="zh-CN"/>
        </w:rPr>
        <w:t>《中华人民共和国专利法》《中华人民共和国专利法实施细则》</w:t>
      </w:r>
      <w:r>
        <w:rPr>
          <w:rFonts w:hint="eastAsia" w:ascii="华文仿宋" w:hAnsi="华文仿宋" w:eastAsia="华文仿宋" w:cs="华文仿宋"/>
          <w:sz w:val="32"/>
          <w:szCs w:val="32"/>
          <w:lang w:val="en-US" w:eastAsia="zh-CN"/>
        </w:rPr>
        <w:t>的学习宣贯。做好《专利纠纷行政裁决和调解办法》《集体商标、证明商标注册和管理规定》和《地理标志产品保护办法》的学习贯彻。落实《商标行政执法证据规定》《商标侵权案件违法经营额计算办法》《市场监管领域知识产权案件案由规定(试行)》等执法规范。</w:t>
      </w:r>
    </w:p>
    <w:p w14:paraId="4002B5E2">
      <w:pPr>
        <w:ind w:firstLine="643" w:firstLineChars="200"/>
        <w:rPr>
          <w:rFonts w:hint="eastAsia" w:ascii="华文仿宋" w:hAnsi="华文仿宋" w:eastAsia="华文仿宋" w:cs="华文仿宋"/>
          <w:sz w:val="32"/>
          <w:szCs w:val="32"/>
          <w:lang w:val="en-US" w:eastAsia="zh-CN"/>
        </w:rPr>
      </w:pPr>
      <w:r>
        <w:rPr>
          <w:rFonts w:hint="default" w:ascii="华文仿宋" w:hAnsi="华文仿宋" w:eastAsia="华文仿宋" w:cs="华文仿宋"/>
          <w:b/>
          <w:bCs/>
          <w:sz w:val="32"/>
          <w:szCs w:val="32"/>
          <w:lang w:val="en-US" w:eastAsia="zh-CN"/>
        </w:rPr>
        <w:t>2.落实完善我省相关法律政策。</w:t>
      </w:r>
      <w:r>
        <w:rPr>
          <w:rFonts w:hint="default" w:ascii="华文仿宋" w:hAnsi="华文仿宋" w:eastAsia="华文仿宋" w:cs="华文仿宋"/>
          <w:sz w:val="32"/>
          <w:szCs w:val="32"/>
          <w:lang w:val="en-US" w:eastAsia="zh-CN"/>
        </w:rPr>
        <w:t>持续推进《山西省知识产权保护工作条例》《山西省专利实施和保护条例》《山西老陈醋保护条例》《知识产权强省建设纲要》《山西省</w:t>
      </w:r>
      <w:r>
        <w:rPr>
          <w:rFonts w:hint="eastAsia" w:ascii="华文仿宋" w:hAnsi="华文仿宋" w:eastAsia="华文仿宋" w:cs="华文仿宋"/>
          <w:sz w:val="32"/>
          <w:szCs w:val="32"/>
          <w:lang w:val="en-US" w:eastAsia="zh-CN"/>
        </w:rPr>
        <w:t>“</w:t>
      </w:r>
      <w:r>
        <w:rPr>
          <w:rFonts w:hint="default" w:ascii="华文仿宋" w:hAnsi="华文仿宋" w:eastAsia="华文仿宋" w:cs="华文仿宋"/>
          <w:sz w:val="32"/>
          <w:szCs w:val="32"/>
          <w:lang w:val="en-US" w:eastAsia="zh-CN"/>
        </w:rPr>
        <w:t>十四五”知识产权保护和运用规划》等扎实落实。积极推动出台《关于支持知识产权强省建设的若干政策措施》，不断提升我省知识产权保护水平。</w:t>
      </w:r>
    </w:p>
    <w:p w14:paraId="09721194">
      <w:pPr>
        <w:keepNext w:val="0"/>
        <w:keepLines w:val="0"/>
        <w:pageBreakBefore w:val="0"/>
        <w:widowControl/>
        <w:kinsoku w:val="0"/>
        <w:wordWrap/>
        <w:overflowPunct/>
        <w:topLinePunct w:val="0"/>
        <w:autoSpaceDE w:val="0"/>
        <w:autoSpaceDN w:val="0"/>
        <w:bidi w:val="0"/>
        <w:adjustRightInd w:val="0"/>
        <w:snapToGrid w:val="0"/>
        <w:spacing w:line="560" w:lineRule="exact"/>
        <w:ind w:left="1" w:right="207" w:firstLine="640"/>
        <w:jc w:val="both"/>
        <w:textAlignment w:val="baseline"/>
        <w:rPr>
          <w:rFonts w:hint="eastAsia" w:ascii="楷体" w:hAnsi="楷体" w:eastAsia="楷体" w:cs="楷体"/>
          <w:b/>
          <w:bCs/>
          <w:spacing w:val="6"/>
          <w:sz w:val="31"/>
          <w:szCs w:val="31"/>
        </w:rPr>
      </w:pPr>
      <w:r>
        <w:rPr>
          <w:rFonts w:hint="eastAsia" w:ascii="楷体" w:hAnsi="楷体" w:eastAsia="楷体" w:cs="楷体"/>
          <w:b/>
          <w:bCs/>
          <w:spacing w:val="6"/>
          <w:sz w:val="31"/>
          <w:szCs w:val="31"/>
        </w:rPr>
        <w:t>（二）筑牢行政保护工作基础</w:t>
      </w:r>
    </w:p>
    <w:p w14:paraId="3C976F6F">
      <w:pPr>
        <w:keepNext w:val="0"/>
        <w:keepLines w:val="0"/>
        <w:widowControl w:val="0"/>
        <w:suppressLineNumbers w:val="0"/>
        <w:spacing w:before="0" w:beforeAutospacing="0" w:after="0" w:afterAutospacing="0"/>
        <w:ind w:left="0" w:right="0" w:firstLine="643" w:firstLineChars="20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3.健全完善保护工作体系。</w:t>
      </w:r>
      <w:r>
        <w:rPr>
          <w:rFonts w:hint="eastAsia" w:ascii="华文仿宋" w:hAnsi="华文仿宋" w:eastAsia="华文仿宋" w:cs="华文仿宋"/>
          <w:sz w:val="32"/>
          <w:szCs w:val="32"/>
          <w:lang w:val="en-US" w:eastAsia="zh-CN"/>
        </w:rPr>
        <w:t>深入推进《知识产权保护体系建设工程实施方案》的贯彻落实，研究制定加强我省知识产权保护体系建设工程年度推进计划。推进省知识产权保护中心高效运行</w:t>
      </w:r>
      <w:r>
        <w:rPr>
          <w:rFonts w:hint="default"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val="en-US" w:eastAsia="zh-CN"/>
        </w:rPr>
        <w:t>积极</w:t>
      </w:r>
      <w:r>
        <w:rPr>
          <w:rFonts w:hint="default" w:ascii="华文仿宋" w:hAnsi="华文仿宋" w:eastAsia="华文仿宋" w:cs="华文仿宋"/>
          <w:sz w:val="32"/>
          <w:szCs w:val="32"/>
          <w:lang w:val="en-US" w:eastAsia="zh-CN"/>
        </w:rPr>
        <w:t>开展新能源、现代装备制造、新材料</w:t>
      </w:r>
      <w:r>
        <w:rPr>
          <w:rFonts w:hint="eastAsia" w:ascii="华文仿宋" w:hAnsi="华文仿宋" w:eastAsia="华文仿宋" w:cs="华文仿宋"/>
          <w:sz w:val="32"/>
          <w:szCs w:val="32"/>
          <w:lang w:val="en-US" w:eastAsia="zh-CN"/>
        </w:rPr>
        <w:t>领域</w:t>
      </w:r>
      <w:r>
        <w:rPr>
          <w:rFonts w:hint="default" w:ascii="华文仿宋" w:hAnsi="华文仿宋" w:eastAsia="华文仿宋" w:cs="华文仿宋"/>
          <w:sz w:val="32"/>
          <w:szCs w:val="32"/>
          <w:lang w:val="en-US" w:eastAsia="zh-CN"/>
        </w:rPr>
        <w:t>专利快速预审</w:t>
      </w:r>
      <w:r>
        <w:rPr>
          <w:rFonts w:hint="eastAsia" w:ascii="华文仿宋" w:hAnsi="华文仿宋" w:eastAsia="华文仿宋" w:cs="华文仿宋"/>
          <w:sz w:val="32"/>
          <w:szCs w:val="32"/>
          <w:lang w:val="en-US" w:eastAsia="zh-CN"/>
        </w:rPr>
        <w:t>工作</w:t>
      </w:r>
      <w:r>
        <w:rPr>
          <w:rFonts w:hint="default" w:ascii="华文仿宋" w:hAnsi="华文仿宋" w:eastAsia="华文仿宋" w:cs="华文仿宋"/>
          <w:sz w:val="32"/>
          <w:szCs w:val="32"/>
          <w:lang w:val="en-US" w:eastAsia="zh-CN"/>
        </w:rPr>
        <w:t>。</w:t>
      </w:r>
      <w:r>
        <w:rPr>
          <w:rFonts w:hint="eastAsia" w:ascii="华文仿宋" w:hAnsi="华文仿宋" w:eastAsia="华文仿宋" w:cs="华文仿宋"/>
          <w:sz w:val="32"/>
          <w:szCs w:val="32"/>
          <w:lang w:val="en-US" w:eastAsia="zh-CN"/>
        </w:rPr>
        <w:t>加强与民营企业和外资企业的沟通，及时听取知识产权保护意见建议，回应企业诉求。</w:t>
      </w:r>
    </w:p>
    <w:p w14:paraId="36BA7C04">
      <w:pPr>
        <w:keepNext w:val="0"/>
        <w:keepLines w:val="0"/>
        <w:widowControl w:val="0"/>
        <w:suppressLineNumbers w:val="0"/>
        <w:spacing w:before="0" w:beforeAutospacing="0" w:after="0" w:afterAutospacing="0"/>
        <w:ind w:left="0" w:right="0" w:firstLine="643" w:firstLineChars="200"/>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4.规范专利商标申请和使用。</w:t>
      </w:r>
      <w:r>
        <w:rPr>
          <w:rFonts w:hint="default" w:ascii="华文仿宋" w:hAnsi="华文仿宋" w:eastAsia="华文仿宋" w:cs="华文仿宋"/>
          <w:sz w:val="32"/>
          <w:szCs w:val="32"/>
          <w:lang w:val="en-US" w:eastAsia="zh-CN"/>
        </w:rPr>
        <w:t>加大《规范申请专利行为的规定》贯彻力度，持续开展非正常专利申请的核查工作。严厉打击非正常专利申请行为，</w:t>
      </w:r>
      <w:r>
        <w:rPr>
          <w:rFonts w:hint="eastAsia" w:ascii="华文仿宋" w:hAnsi="华文仿宋" w:eastAsia="华文仿宋" w:cs="华文仿宋"/>
          <w:sz w:val="32"/>
          <w:szCs w:val="32"/>
          <w:lang w:val="en-US" w:eastAsia="zh-CN"/>
        </w:rPr>
        <w:t>加强对提交非正常专利申请的单位和个人的信用监管和政策约束。</w:t>
      </w:r>
      <w:r>
        <w:rPr>
          <w:rFonts w:hint="default" w:ascii="华文仿宋" w:hAnsi="华文仿宋" w:eastAsia="华文仿宋" w:cs="华文仿宋"/>
          <w:sz w:val="32"/>
          <w:szCs w:val="32"/>
          <w:lang w:val="en-US" w:eastAsia="zh-CN"/>
        </w:rPr>
        <w:t>及时处置上级交办和部门、地区转办的非正常专利申请重点问题线索。</w:t>
      </w:r>
      <w:r>
        <w:rPr>
          <w:rFonts w:hint="eastAsia" w:ascii="华文仿宋" w:hAnsi="华文仿宋" w:eastAsia="华文仿宋" w:cs="华文仿宋"/>
          <w:sz w:val="32"/>
          <w:szCs w:val="32"/>
          <w:lang w:val="en-US" w:eastAsia="zh-CN"/>
        </w:rPr>
        <w:t>加强对查处使用带有欺骗性、不良影响等禁用商标违法行为的专业指导，对已经取得注册的，按程序</w:t>
      </w:r>
      <w:r>
        <w:rPr>
          <w:rFonts w:hint="default" w:ascii="华文仿宋" w:hAnsi="华文仿宋" w:eastAsia="华文仿宋" w:cs="华文仿宋"/>
          <w:sz w:val="32"/>
          <w:szCs w:val="32"/>
          <w:lang w:val="en-US" w:eastAsia="zh-CN"/>
        </w:rPr>
        <w:t>逐级</w:t>
      </w:r>
      <w:r>
        <w:rPr>
          <w:rFonts w:hint="eastAsia" w:ascii="华文仿宋" w:hAnsi="华文仿宋" w:eastAsia="华文仿宋" w:cs="华文仿宋"/>
          <w:sz w:val="32"/>
          <w:szCs w:val="32"/>
          <w:lang w:val="en-US" w:eastAsia="zh-CN"/>
        </w:rPr>
        <w:t>报请国家知识产权局依职权无效，加大无效决定生效后的跟踪处置。</w:t>
      </w:r>
      <w:r>
        <w:rPr>
          <w:rFonts w:hint="default" w:ascii="华文仿宋" w:hAnsi="华文仿宋" w:eastAsia="华文仿宋" w:cs="华文仿宋"/>
          <w:sz w:val="32"/>
          <w:szCs w:val="32"/>
          <w:lang w:val="en-US" w:eastAsia="zh-CN"/>
        </w:rPr>
        <w:t>对于上级交办、转办的</w:t>
      </w:r>
      <w:r>
        <w:rPr>
          <w:rFonts w:hint="eastAsia" w:ascii="华文仿宋" w:hAnsi="华文仿宋" w:eastAsia="华文仿宋" w:cs="华文仿宋"/>
          <w:sz w:val="32"/>
          <w:szCs w:val="32"/>
          <w:lang w:val="en-US" w:eastAsia="zh-CN"/>
        </w:rPr>
        <w:t>商标恶意注册申请</w:t>
      </w:r>
      <w:r>
        <w:rPr>
          <w:rFonts w:hint="default" w:ascii="华文仿宋" w:hAnsi="华文仿宋" w:eastAsia="华文仿宋" w:cs="华文仿宋"/>
          <w:sz w:val="32"/>
          <w:szCs w:val="32"/>
          <w:lang w:val="en-US" w:eastAsia="zh-CN"/>
        </w:rPr>
        <w:t>违法案件线索，及时处置并反馈处理结果。</w:t>
      </w:r>
    </w:p>
    <w:p w14:paraId="6D6B8863">
      <w:pPr>
        <w:keepNext w:val="0"/>
        <w:keepLines w:val="0"/>
        <w:widowControl w:val="0"/>
        <w:suppressLineNumbers w:val="0"/>
        <w:spacing w:before="0" w:beforeAutospacing="0" w:after="0" w:afterAutospacing="0"/>
        <w:ind w:left="0" w:right="0" w:firstLine="643" w:firstLineChars="200"/>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5</w:t>
      </w:r>
      <w:r>
        <w:rPr>
          <w:rFonts w:hint="default" w:ascii="华文仿宋" w:hAnsi="华文仿宋" w:eastAsia="华文仿宋" w:cs="华文仿宋"/>
          <w:b/>
          <w:bCs/>
          <w:sz w:val="32"/>
          <w:szCs w:val="32"/>
          <w:lang w:val="en-US" w:eastAsia="zh-CN"/>
        </w:rPr>
        <w:t>.</w:t>
      </w:r>
      <w:r>
        <w:rPr>
          <w:rFonts w:hint="eastAsia" w:ascii="华文仿宋" w:hAnsi="华文仿宋" w:eastAsia="华文仿宋" w:cs="华文仿宋"/>
          <w:b/>
          <w:bCs/>
          <w:sz w:val="32"/>
          <w:szCs w:val="32"/>
          <w:lang w:val="en-US" w:eastAsia="zh-CN"/>
        </w:rPr>
        <w:t>强化知识产权代理机构监管。</w:t>
      </w:r>
      <w:r>
        <w:rPr>
          <w:rFonts w:hint="eastAsia" w:ascii="华文仿宋" w:hAnsi="华文仿宋" w:eastAsia="华文仿宋" w:cs="华文仿宋"/>
          <w:sz w:val="32"/>
          <w:szCs w:val="32"/>
          <w:lang w:val="en-US" w:eastAsia="zh-CN"/>
        </w:rPr>
        <w:t>深入开展全省知识产权代理行业“蓝天”专项整治行动，加强专利、商标代理信用监管，推广使用《专利商标代理服务政府采购需求标准（试行）》，促进知识产权服务业高质量发展。</w:t>
      </w:r>
      <w:r>
        <w:rPr>
          <w:rFonts w:hint="default" w:ascii="华文仿宋" w:hAnsi="华文仿宋" w:eastAsia="华文仿宋" w:cs="华文仿宋"/>
          <w:sz w:val="32"/>
          <w:szCs w:val="32"/>
          <w:lang w:val="en-US" w:eastAsia="zh-CN"/>
        </w:rPr>
        <w:t>深化“双随机、一公开”监管，形成规范经营行为、降低执法成本、强化监管震慑的综合效应。</w:t>
      </w:r>
    </w:p>
    <w:p w14:paraId="77497F35">
      <w:pPr>
        <w:keepNext w:val="0"/>
        <w:keepLines w:val="0"/>
        <w:pageBreakBefore w:val="0"/>
        <w:widowControl/>
        <w:kinsoku w:val="0"/>
        <w:wordWrap/>
        <w:overflowPunct/>
        <w:topLinePunct w:val="0"/>
        <w:autoSpaceDE w:val="0"/>
        <w:autoSpaceDN w:val="0"/>
        <w:bidi w:val="0"/>
        <w:adjustRightInd w:val="0"/>
        <w:snapToGrid w:val="0"/>
        <w:spacing w:line="560" w:lineRule="exact"/>
        <w:ind w:left="1" w:right="207" w:firstLine="640"/>
        <w:jc w:val="both"/>
        <w:textAlignment w:val="baseline"/>
        <w:rPr>
          <w:rFonts w:hint="eastAsia" w:ascii="楷体" w:hAnsi="楷体" w:eastAsia="楷体" w:cs="楷体"/>
          <w:b/>
          <w:bCs/>
          <w:spacing w:val="6"/>
          <w:sz w:val="31"/>
          <w:szCs w:val="31"/>
          <w:lang w:val="en-US" w:eastAsia="zh-CN"/>
        </w:rPr>
      </w:pPr>
      <w:r>
        <w:rPr>
          <w:rFonts w:hint="eastAsia" w:ascii="楷体" w:hAnsi="楷体" w:eastAsia="楷体" w:cs="楷体"/>
          <w:b/>
          <w:bCs/>
          <w:spacing w:val="6"/>
          <w:sz w:val="31"/>
          <w:szCs w:val="31"/>
          <w:lang w:val="en-US" w:eastAsia="zh-CN"/>
        </w:rPr>
        <w:t>（三）加大行政执法保护力度</w:t>
      </w:r>
    </w:p>
    <w:p w14:paraId="7C987734">
      <w:pPr>
        <w:keepNext w:val="0"/>
        <w:keepLines w:val="0"/>
        <w:widowControl/>
        <w:suppressLineNumbers w:val="0"/>
        <w:ind w:firstLine="643" w:firstLineChars="2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6.加强专利保护。</w:t>
      </w:r>
      <w:r>
        <w:rPr>
          <w:rFonts w:hint="eastAsia" w:ascii="华文仿宋" w:hAnsi="华文仿宋" w:eastAsia="华文仿宋" w:cs="华文仿宋"/>
          <w:sz w:val="32"/>
          <w:szCs w:val="32"/>
          <w:lang w:val="en-US" w:eastAsia="zh-CN"/>
        </w:rPr>
        <w:t>持续推进专利侵权纠纷行政裁决规范化建设，认真落实《专利纠纷行政裁决和调解办法》</w:t>
      </w:r>
      <w:r>
        <w:rPr>
          <w:rFonts w:hint="default" w:ascii="华文仿宋" w:hAnsi="华文仿宋" w:eastAsia="华文仿宋" w:cs="华文仿宋"/>
          <w:sz w:val="32"/>
          <w:szCs w:val="32"/>
          <w:lang w:val="en-US" w:eastAsia="zh-CN"/>
        </w:rPr>
        <w:t>《专利侵权纠纷行政裁决若干规定</w:t>
      </w:r>
      <w:r>
        <w:rPr>
          <w:rFonts w:hint="eastAsia" w:ascii="华文仿宋" w:hAnsi="华文仿宋" w:eastAsia="华文仿宋" w:cs="华文仿宋"/>
          <w:sz w:val="32"/>
          <w:szCs w:val="32"/>
          <w:lang w:val="en-US" w:eastAsia="zh-CN"/>
        </w:rPr>
        <w:t>（试行）</w:t>
      </w:r>
      <w:r>
        <w:rPr>
          <w:rFonts w:hint="default" w:ascii="华文仿宋" w:hAnsi="华文仿宋" w:eastAsia="华文仿宋" w:cs="华文仿宋"/>
          <w:sz w:val="32"/>
          <w:szCs w:val="32"/>
          <w:lang w:val="en-US" w:eastAsia="zh-CN"/>
        </w:rPr>
        <w:t>》等办案规范，</w:t>
      </w:r>
      <w:r>
        <w:rPr>
          <w:rFonts w:hint="eastAsia" w:ascii="华文仿宋" w:hAnsi="华文仿宋" w:eastAsia="华文仿宋" w:cs="华文仿宋"/>
          <w:sz w:val="32"/>
          <w:szCs w:val="32"/>
          <w:lang w:val="en-US" w:eastAsia="zh-CN"/>
        </w:rPr>
        <w:t>不断畅通受理渠道，优化审理模式，加大办案力度，突出办理质效。开展专利侵权纠纷行政裁决案卷评查。发布专利侵权纠纷行政裁决典型案例。</w:t>
      </w:r>
      <w:r>
        <w:rPr>
          <w:rFonts w:hint="default" w:ascii="华文仿宋" w:hAnsi="华文仿宋" w:eastAsia="华文仿宋" w:cs="华文仿宋"/>
          <w:sz w:val="32"/>
          <w:szCs w:val="32"/>
          <w:lang w:val="en-US" w:eastAsia="zh-CN"/>
        </w:rPr>
        <w:t>加强专利行政裁决队伍专业化建设，提升办案业务能力和水平。</w:t>
      </w:r>
      <w:r>
        <w:rPr>
          <w:rFonts w:hint="eastAsia" w:ascii="华文仿宋" w:hAnsi="华文仿宋" w:eastAsia="华文仿宋" w:cs="华文仿宋"/>
          <w:sz w:val="32"/>
          <w:szCs w:val="32"/>
          <w:lang w:val="en-US" w:eastAsia="zh-CN"/>
        </w:rPr>
        <w:t>充分依托技术调查官专家库、知识产权鉴定机构等专业力量，为案件办理提供技术支撑。</w:t>
      </w:r>
    </w:p>
    <w:p w14:paraId="572DF920">
      <w:pPr>
        <w:rPr>
          <w:rFonts w:hint="eastAsia" w:ascii="华文仿宋" w:hAnsi="华文仿宋" w:eastAsia="华文仿宋" w:cs="华文仿宋"/>
          <w:sz w:val="32"/>
          <w:szCs w:val="32"/>
          <w:lang w:val="en-US" w:eastAsia="zh-CN"/>
        </w:rPr>
      </w:pPr>
      <w:r>
        <w:rPr>
          <w:rFonts w:hint="eastAsia" w:ascii="CESI仿宋-GB2312" w:hAnsi="CESI仿宋-GB2312" w:eastAsia="CESI仿宋-GB2312" w:cs="CESI仿宋-GB2312"/>
          <w:sz w:val="32"/>
          <w:szCs w:val="32"/>
          <w:lang w:eastAsia="zh-CN"/>
        </w:rPr>
        <w:t>　　</w:t>
      </w:r>
      <w:r>
        <w:rPr>
          <w:rFonts w:hint="eastAsia" w:ascii="华文仿宋" w:hAnsi="华文仿宋" w:eastAsia="华文仿宋" w:cs="华文仿宋"/>
          <w:b/>
          <w:bCs/>
          <w:sz w:val="32"/>
          <w:szCs w:val="32"/>
          <w:lang w:val="en-US" w:eastAsia="zh-CN"/>
        </w:rPr>
        <w:t>7.加强商标保护。</w:t>
      </w:r>
      <w:r>
        <w:rPr>
          <w:rFonts w:hint="eastAsia" w:ascii="华文仿宋" w:hAnsi="华文仿宋" w:eastAsia="华文仿宋" w:cs="华文仿宋"/>
          <w:sz w:val="32"/>
          <w:szCs w:val="32"/>
          <w:lang w:val="en-US" w:eastAsia="zh-CN"/>
        </w:rPr>
        <w:t>修订《全省重点商标保护名录管理办法》，加大对中华老字号、三晋老字号、“山西精品”等我省重点商标保护工作力度。加强对驰名商标的及时保护、重点保护、援引保护。加强对互联网领域利用关键词实施侵权、组合使用注册商标实施侵权、利用外观设计专利对他人在先注册商标实施侵权等隐蔽性侵权行为的专业指导。举办“我喜爱的山西商标品牌”电视大赛。推动“第十五届中国国际商标品牌节”在太原举办。</w:t>
      </w:r>
    </w:p>
    <w:p w14:paraId="2A94C200">
      <w:pPr>
        <w:keepNext w:val="0"/>
        <w:keepLines w:val="0"/>
        <w:widowControl w:val="0"/>
        <w:suppressLineNumbers w:val="0"/>
        <w:spacing w:before="0" w:beforeAutospacing="0" w:after="0" w:afterAutospacing="0"/>
        <w:ind w:left="0" w:right="0" w:firstLine="643" w:firstLineChars="20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8.加强地理标志保护。</w:t>
      </w:r>
      <w:r>
        <w:rPr>
          <w:rFonts w:hint="eastAsia" w:ascii="华文仿宋" w:hAnsi="华文仿宋" w:eastAsia="华文仿宋" w:cs="华文仿宋"/>
          <w:sz w:val="32"/>
          <w:szCs w:val="32"/>
          <w:lang w:val="en-US" w:eastAsia="zh-CN"/>
        </w:rPr>
        <w:t>认真落实《地理标志统一认定制度实施方案》，有序推动原农产品地理标志转化。</w:t>
      </w:r>
      <w:r>
        <w:rPr>
          <w:rFonts w:hint="default" w:ascii="华文仿宋" w:hAnsi="华文仿宋" w:eastAsia="华文仿宋" w:cs="华文仿宋"/>
          <w:sz w:val="32"/>
          <w:szCs w:val="32"/>
          <w:lang w:val="en-US" w:eastAsia="zh-CN"/>
        </w:rPr>
        <w:t>加强地理标志专用标志核准和使用管理，建立健全地理标志专用标志使用情况年报制度。</w:t>
      </w:r>
      <w:r>
        <w:rPr>
          <w:rFonts w:hint="eastAsia" w:ascii="华文仿宋" w:hAnsi="华文仿宋" w:eastAsia="华文仿宋" w:cs="华文仿宋"/>
          <w:sz w:val="32"/>
          <w:szCs w:val="32"/>
          <w:lang w:val="en-US" w:eastAsia="zh-CN"/>
        </w:rPr>
        <w:t>推动</w:t>
      </w:r>
      <w:r>
        <w:rPr>
          <w:rFonts w:hint="default" w:ascii="华文仿宋" w:hAnsi="华文仿宋" w:eastAsia="华文仿宋" w:cs="华文仿宋"/>
          <w:sz w:val="32"/>
          <w:szCs w:val="32"/>
          <w:lang w:val="en-US" w:eastAsia="zh-CN"/>
        </w:rPr>
        <w:t>地理标志产品标准制修订，进一步完善我省地理标志产品标准体系。支持和鼓励地理标志专用标志合法使用人应用产地溯源等先进管理方法和工具，建立完善地理标志特色质量保证体系。</w:t>
      </w:r>
      <w:r>
        <w:rPr>
          <w:rFonts w:hint="eastAsia" w:ascii="华文仿宋" w:hAnsi="华文仿宋" w:eastAsia="华文仿宋" w:cs="华文仿宋"/>
          <w:sz w:val="32"/>
          <w:szCs w:val="32"/>
          <w:lang w:val="en-US" w:eastAsia="zh-CN"/>
        </w:rPr>
        <w:t>高质量推进国家地理标志保护示范区和地理标志保护工程项目建设。</w:t>
      </w:r>
      <w:r>
        <w:rPr>
          <w:rFonts w:hint="default" w:ascii="华文仿宋" w:hAnsi="华文仿宋" w:eastAsia="华文仿宋" w:cs="华文仿宋"/>
          <w:sz w:val="32"/>
          <w:szCs w:val="32"/>
          <w:lang w:val="en-US" w:eastAsia="zh-CN"/>
        </w:rPr>
        <w:t xml:space="preserve"> </w:t>
      </w:r>
    </w:p>
    <w:p w14:paraId="76084821">
      <w:pPr>
        <w:keepNext w:val="0"/>
        <w:keepLines w:val="0"/>
        <w:pageBreakBefore w:val="0"/>
        <w:widowControl/>
        <w:kinsoku w:val="0"/>
        <w:wordWrap/>
        <w:overflowPunct/>
        <w:topLinePunct w:val="0"/>
        <w:autoSpaceDE w:val="0"/>
        <w:autoSpaceDN w:val="0"/>
        <w:bidi w:val="0"/>
        <w:adjustRightInd w:val="0"/>
        <w:snapToGrid w:val="0"/>
        <w:spacing w:line="560" w:lineRule="exact"/>
        <w:ind w:left="1" w:right="207" w:firstLine="640"/>
        <w:jc w:val="both"/>
        <w:textAlignment w:val="baseline"/>
        <w:rPr>
          <w:rFonts w:ascii="仿宋" w:hAnsi="仿宋" w:eastAsia="仿宋" w:cs="仿宋"/>
          <w:spacing w:val="5"/>
          <w:sz w:val="31"/>
          <w:szCs w:val="31"/>
        </w:rPr>
      </w:pPr>
      <w:r>
        <w:rPr>
          <w:rFonts w:ascii="楷体" w:hAnsi="楷体" w:eastAsia="楷体" w:cs="楷体"/>
          <w:b/>
          <w:bCs/>
          <w:spacing w:val="6"/>
          <w:sz w:val="31"/>
          <w:szCs w:val="31"/>
        </w:rPr>
        <w:t>（</w:t>
      </w:r>
      <w:r>
        <w:rPr>
          <w:rFonts w:hint="eastAsia" w:ascii="楷体" w:hAnsi="楷体" w:eastAsia="楷体" w:cs="楷体"/>
          <w:b/>
          <w:bCs/>
          <w:spacing w:val="6"/>
          <w:sz w:val="31"/>
          <w:szCs w:val="31"/>
          <w:lang w:eastAsia="zh-CN"/>
        </w:rPr>
        <w:t>四</w:t>
      </w:r>
      <w:r>
        <w:rPr>
          <w:rFonts w:ascii="楷体" w:hAnsi="楷体" w:eastAsia="楷体" w:cs="楷体"/>
          <w:b/>
          <w:bCs/>
          <w:spacing w:val="6"/>
          <w:sz w:val="31"/>
          <w:szCs w:val="31"/>
        </w:rPr>
        <w:t>）强化重点领域和关键环节行政保护</w:t>
      </w:r>
    </w:p>
    <w:p w14:paraId="046A22C6">
      <w:pPr>
        <w:rPr>
          <w:rFonts w:hint="eastAsia" w:ascii="华文仿宋" w:hAnsi="华文仿宋" w:eastAsia="华文仿宋" w:cs="华文仿宋"/>
          <w:sz w:val="32"/>
          <w:szCs w:val="32"/>
          <w:lang w:val="en-US" w:eastAsia="zh-CN"/>
        </w:rPr>
      </w:pPr>
      <w:r>
        <w:rPr>
          <w:rFonts w:hint="eastAsia" w:ascii="CESI仿宋-GB2312" w:hAnsi="CESI仿宋-GB2312" w:eastAsia="CESI仿宋-GB2312" w:cs="CESI仿宋-GB2312"/>
          <w:sz w:val="32"/>
          <w:szCs w:val="32"/>
          <w:lang w:eastAsia="zh-CN"/>
        </w:rPr>
        <w:t>　</w:t>
      </w:r>
      <w:r>
        <w:rPr>
          <w:rFonts w:hint="eastAsia" w:ascii="华文仿宋" w:hAnsi="华文仿宋" w:eastAsia="华文仿宋" w:cs="华文仿宋"/>
          <w:sz w:val="32"/>
          <w:szCs w:val="32"/>
          <w:lang w:val="en-US" w:eastAsia="zh-CN"/>
        </w:rPr>
        <w:t>　</w:t>
      </w:r>
      <w:r>
        <w:rPr>
          <w:rFonts w:hint="eastAsia" w:ascii="华文仿宋" w:hAnsi="华文仿宋" w:eastAsia="华文仿宋" w:cs="华文仿宋"/>
          <w:b/>
          <w:bCs/>
          <w:sz w:val="32"/>
          <w:szCs w:val="32"/>
          <w:lang w:val="en-US" w:eastAsia="zh-CN"/>
        </w:rPr>
        <w:t>9.加强新领域新业态保护。</w:t>
      </w:r>
      <w:r>
        <w:rPr>
          <w:rFonts w:hint="eastAsia" w:ascii="华文仿宋" w:hAnsi="华文仿宋" w:eastAsia="华文仿宋" w:cs="华文仿宋"/>
          <w:sz w:val="32"/>
          <w:szCs w:val="32"/>
          <w:lang w:val="en-US" w:eastAsia="zh-CN"/>
        </w:rPr>
        <w:t>深化数据知识产权试点工作，与文旅部门推进文旅行业的数据知识产权挖掘和登记，与文物部门共同推进对古建及各类文物的数据知识产权保护，加强数据知识产权登记证书在数据交易流通、质押融资、价值评估等工作中的运用。认真学习《人工智能相关发明专利申请指引（试行）》，探索研究人工智能领域知识产权保护工作。加大对新能源汽车等战略性新兴产业的知识产权保护力度，加强专利行政裁决等案件办理，提供精准指导服务。</w:t>
      </w:r>
    </w:p>
    <w:p w14:paraId="052B356D">
      <w:pPr>
        <w:rPr>
          <w:rFonts w:hint="eastAsia" w:ascii="华文仿宋" w:hAnsi="华文仿宋" w:eastAsia="华文仿宋" w:cs="华文仿宋"/>
          <w:sz w:val="32"/>
          <w:szCs w:val="32"/>
          <w:lang w:val="en-US" w:eastAsia="zh-CN"/>
        </w:rPr>
      </w:pPr>
      <w:r>
        <w:rPr>
          <w:rFonts w:hint="eastAsia" w:ascii="CESI仿宋-GB2312" w:hAnsi="CESI仿宋-GB2312" w:eastAsia="CESI仿宋-GB2312" w:cs="CESI仿宋-GB2312"/>
          <w:sz w:val="32"/>
          <w:szCs w:val="32"/>
          <w:lang w:eastAsia="zh-CN"/>
        </w:rPr>
        <w:t>　　</w:t>
      </w:r>
      <w:r>
        <w:rPr>
          <w:rFonts w:hint="eastAsia" w:ascii="华文仿宋" w:hAnsi="华文仿宋" w:eastAsia="华文仿宋" w:cs="华文仿宋"/>
          <w:b/>
          <w:bCs/>
          <w:sz w:val="32"/>
          <w:szCs w:val="32"/>
          <w:lang w:val="en-US" w:eastAsia="zh-CN"/>
        </w:rPr>
        <w:t>10.加强民生热点领域保护。</w:t>
      </w:r>
      <w:r>
        <w:rPr>
          <w:rFonts w:hint="eastAsia" w:ascii="华文仿宋" w:hAnsi="华文仿宋" w:eastAsia="华文仿宋" w:cs="华文仿宋"/>
          <w:sz w:val="32"/>
          <w:szCs w:val="32"/>
          <w:lang w:val="en-US" w:eastAsia="zh-CN"/>
        </w:rPr>
        <w:t>聚焦关系公共利益和人民群众切身利益的食品药品、康复辅助器具、儿童玩具、家用电器以及绿色低碳技术等领域，加大对商标专利行政执法指导力度。加强对民营企业、外商投资企业等经营主体知识产权保护</w:t>
      </w:r>
      <w:r>
        <w:rPr>
          <w:rFonts w:hint="default" w:ascii="华文仿宋" w:hAnsi="华文仿宋" w:eastAsia="华文仿宋" w:cs="华文仿宋"/>
          <w:sz w:val="32"/>
          <w:szCs w:val="32"/>
          <w:lang w:val="en-US" w:eastAsia="zh-CN"/>
        </w:rPr>
        <w:t>，护航企业创新发展。</w:t>
      </w:r>
      <w:r>
        <w:rPr>
          <w:rFonts w:hint="eastAsia" w:ascii="华文仿宋" w:hAnsi="华文仿宋" w:eastAsia="华文仿宋" w:cs="华文仿宋"/>
          <w:sz w:val="32"/>
          <w:szCs w:val="32"/>
          <w:lang w:val="en-US" w:eastAsia="zh-CN"/>
        </w:rPr>
        <w:t>加强对查处假冒、套牌等侵权行为的专业指导。</w:t>
      </w:r>
    </w:p>
    <w:p w14:paraId="43AE9471">
      <w:pPr>
        <w:keepNext w:val="0"/>
        <w:keepLines w:val="0"/>
        <w:widowControl/>
        <w:suppressLineNumbers w:val="0"/>
        <w:jc w:val="left"/>
        <w:rPr>
          <w:rFonts w:hint="eastAsia" w:ascii="华文仿宋" w:hAnsi="华文仿宋" w:eastAsia="华文仿宋" w:cs="华文仿宋"/>
          <w:sz w:val="32"/>
          <w:szCs w:val="32"/>
          <w:lang w:val="en-US" w:eastAsia="zh-CN"/>
        </w:rPr>
      </w:pPr>
      <w:r>
        <w:rPr>
          <w:rFonts w:hint="eastAsia" w:ascii="CESI仿宋-GB2312" w:hAnsi="CESI仿宋-GB2312" w:eastAsia="CESI仿宋-GB2312" w:cs="CESI仿宋-GB2312"/>
          <w:sz w:val="32"/>
          <w:szCs w:val="32"/>
          <w:lang w:eastAsia="zh-CN"/>
        </w:rPr>
        <w:t>　　</w:t>
      </w:r>
      <w:r>
        <w:rPr>
          <w:rFonts w:hint="eastAsia" w:ascii="华文仿宋" w:hAnsi="华文仿宋" w:eastAsia="华文仿宋" w:cs="华文仿宋"/>
          <w:b/>
          <w:bCs/>
          <w:sz w:val="32"/>
          <w:szCs w:val="32"/>
          <w:lang w:val="en-US" w:eastAsia="zh-CN"/>
        </w:rPr>
        <w:t>11.加强重大活动和重要节点保护。</w:t>
      </w:r>
      <w:r>
        <w:rPr>
          <w:rFonts w:hint="eastAsia" w:ascii="华文仿宋" w:hAnsi="华文仿宋" w:eastAsia="华文仿宋" w:cs="华文仿宋"/>
          <w:sz w:val="32"/>
          <w:szCs w:val="32"/>
          <w:lang w:val="en-US" w:eastAsia="zh-CN"/>
        </w:rPr>
        <w:t>做好第九届亚洲冬季运动会、第十二届世界运动会、第十五届全国运动会等大型赛事知识产权保护。强化中国国际进口博览会、中国国际服务贸易交易会等大型展会知识产权保护，加强展前排查、展中巡查和展后跟踪，畅通投诉渠道，快速处理知识产权纠纷。做好五一、中秋、国庆等节日期间知识产权保护工作，加强对电商平台、商超、专业市场的监管，防范侵权假冒商品流通。在应季地理标志产品集中上市的时间节点开展风险排查，严格规制擅自使用地理标志违法行为。</w:t>
      </w:r>
    </w:p>
    <w:p w14:paraId="64D93E56">
      <w:pPr>
        <w:ind w:firstLine="640"/>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12.加强涉外知识产权保护。</w:t>
      </w:r>
      <w:r>
        <w:rPr>
          <w:rFonts w:hint="eastAsia" w:ascii="华文仿宋" w:hAnsi="华文仿宋" w:eastAsia="华文仿宋" w:cs="华文仿宋"/>
          <w:sz w:val="32"/>
          <w:szCs w:val="32"/>
          <w:lang w:val="en-US" w:eastAsia="zh-CN"/>
        </w:rPr>
        <w:t>加强海外知识产权纠纷应</w:t>
      </w:r>
      <w:r>
        <w:rPr>
          <w:rFonts w:hint="default" w:ascii="华文仿宋" w:hAnsi="华文仿宋" w:eastAsia="华文仿宋" w:cs="华文仿宋"/>
          <w:sz w:val="32"/>
          <w:szCs w:val="32"/>
          <w:lang w:val="en-US" w:eastAsia="zh-CN"/>
        </w:rPr>
        <w:t>对指导中心山西分中心建设，</w:t>
      </w:r>
      <w:r>
        <w:rPr>
          <w:rFonts w:hint="eastAsia" w:ascii="华文仿宋" w:hAnsi="华文仿宋" w:eastAsia="华文仿宋" w:cs="华文仿宋"/>
          <w:sz w:val="32"/>
          <w:szCs w:val="32"/>
          <w:lang w:val="en-US" w:eastAsia="zh-CN"/>
        </w:rPr>
        <w:t>重点加强对民营企业海外纠纷应对指导服务。公平公正办理各类案件，一视同仁保护外国企业和外资企业合法权益。</w:t>
      </w:r>
      <w:r>
        <w:rPr>
          <w:rFonts w:hint="default" w:ascii="华文仿宋" w:hAnsi="华文仿宋" w:eastAsia="华文仿宋" w:cs="华文仿宋"/>
          <w:sz w:val="32"/>
          <w:szCs w:val="32"/>
          <w:lang w:val="en-US" w:eastAsia="zh-CN"/>
        </w:rPr>
        <w:t>加强信息发布和风险预警，及时跟踪海外法律制度和重点案例，监测重大海外知识产权纠纷信息，强化信息共享与交流。</w:t>
      </w:r>
      <w:r>
        <w:rPr>
          <w:rFonts w:hint="eastAsia" w:ascii="华文仿宋" w:hAnsi="华文仿宋" w:eastAsia="华文仿宋" w:cs="华文仿宋"/>
          <w:sz w:val="32"/>
          <w:szCs w:val="32"/>
          <w:lang w:val="en-US" w:eastAsia="zh-CN"/>
        </w:rPr>
        <w:t>加强对“</w:t>
      </w:r>
      <w:r>
        <w:rPr>
          <w:rFonts w:hint="default" w:ascii="华文仿宋" w:hAnsi="华文仿宋" w:eastAsia="华文仿宋" w:cs="华文仿宋"/>
          <w:sz w:val="32"/>
          <w:szCs w:val="32"/>
          <w:lang w:val="en-US" w:eastAsia="zh-CN"/>
        </w:rPr>
        <w:t>337</w:t>
      </w:r>
      <w:r>
        <w:rPr>
          <w:rFonts w:hint="eastAsia" w:ascii="华文仿宋" w:hAnsi="华文仿宋" w:eastAsia="华文仿宋" w:cs="华文仿宋"/>
          <w:sz w:val="32"/>
          <w:szCs w:val="32"/>
          <w:lang w:val="en-US" w:eastAsia="zh-CN"/>
        </w:rPr>
        <w:t>调查”、跨境电商诉讼、商标恶意抢注等纠纷的预警监测，</w:t>
      </w:r>
      <w:r>
        <w:rPr>
          <w:rFonts w:hint="default" w:ascii="华文仿宋" w:hAnsi="华文仿宋" w:eastAsia="华文仿宋" w:cs="华文仿宋"/>
          <w:sz w:val="32"/>
          <w:szCs w:val="32"/>
          <w:lang w:val="en-US" w:eastAsia="zh-CN"/>
        </w:rPr>
        <w:t>定期收集发布针对性海外资讯信息和风险预警相关内容</w:t>
      </w:r>
      <w:r>
        <w:rPr>
          <w:rFonts w:hint="eastAsia" w:ascii="华文仿宋" w:hAnsi="华文仿宋" w:eastAsia="华文仿宋" w:cs="华文仿宋"/>
          <w:sz w:val="32"/>
          <w:szCs w:val="32"/>
          <w:lang w:val="en-US" w:eastAsia="zh-CN"/>
        </w:rPr>
        <w:t>。加强与商务部门的协调对接，依法严格管理技术出口知识产权对外转让行为。</w:t>
      </w:r>
    </w:p>
    <w:p w14:paraId="5A41FE69">
      <w:pPr>
        <w:keepNext w:val="0"/>
        <w:keepLines w:val="0"/>
        <w:pageBreakBefore w:val="0"/>
        <w:widowControl/>
        <w:kinsoku w:val="0"/>
        <w:wordWrap/>
        <w:overflowPunct/>
        <w:topLinePunct w:val="0"/>
        <w:autoSpaceDE w:val="0"/>
        <w:autoSpaceDN w:val="0"/>
        <w:bidi w:val="0"/>
        <w:adjustRightInd w:val="0"/>
        <w:snapToGrid w:val="0"/>
        <w:spacing w:line="560" w:lineRule="exact"/>
        <w:ind w:left="1" w:right="207" w:firstLine="640"/>
        <w:jc w:val="both"/>
        <w:textAlignment w:val="baseline"/>
        <w:rPr>
          <w:rFonts w:ascii="楷体" w:hAnsi="楷体" w:eastAsia="楷体" w:cs="楷体"/>
          <w:b/>
          <w:bCs/>
          <w:spacing w:val="6"/>
          <w:sz w:val="31"/>
          <w:szCs w:val="31"/>
        </w:rPr>
      </w:pPr>
      <w:r>
        <w:rPr>
          <w:rFonts w:ascii="楷体" w:hAnsi="楷体" w:eastAsia="楷体" w:cs="楷体"/>
          <w:b/>
          <w:bCs/>
          <w:spacing w:val="6"/>
          <w:sz w:val="32"/>
          <w:szCs w:val="32"/>
          <w:lang w:val="en-US" w:eastAsia="zh-CN"/>
        </w:rPr>
        <w:t>（五）完善行政保护工作机制</w:t>
      </w:r>
      <w:r>
        <w:rPr>
          <w:rFonts w:ascii="楷体" w:hAnsi="楷体" w:eastAsia="楷体" w:cs="楷体"/>
          <w:b/>
          <w:bCs/>
          <w:spacing w:val="6"/>
          <w:sz w:val="31"/>
          <w:szCs w:val="31"/>
          <w:lang w:val="en-US" w:eastAsia="zh-CN"/>
        </w:rPr>
        <w:t xml:space="preserve"> </w:t>
      </w:r>
    </w:p>
    <w:p w14:paraId="203D92ED">
      <w:pPr>
        <w:ind w:firstLine="640"/>
        <w:rPr>
          <w:rFonts w:hint="default" w:ascii="华文仿宋" w:hAnsi="华文仿宋" w:eastAsia="华文仿宋" w:cs="华文仿宋"/>
          <w:sz w:val="32"/>
          <w:szCs w:val="32"/>
          <w:lang w:val="en-US" w:eastAsia="zh-CN"/>
        </w:rPr>
      </w:pPr>
      <w:r>
        <w:rPr>
          <w:rFonts w:hint="default" w:ascii="华文仿宋" w:hAnsi="华文仿宋" w:eastAsia="华文仿宋" w:cs="华文仿宋"/>
          <w:b/>
          <w:bCs/>
          <w:sz w:val="32"/>
          <w:szCs w:val="32"/>
          <w:lang w:val="en-US" w:eastAsia="zh-CN"/>
        </w:rPr>
        <w:t>13.落实知识产权保护联动机制。</w:t>
      </w:r>
      <w:r>
        <w:rPr>
          <w:rFonts w:hint="default" w:ascii="华文仿宋" w:hAnsi="华文仿宋" w:eastAsia="华文仿宋" w:cs="华文仿宋"/>
          <w:sz w:val="32"/>
          <w:szCs w:val="32"/>
          <w:lang w:val="en-US" w:eastAsia="zh-CN"/>
        </w:rPr>
        <w:t xml:space="preserve">加强与法院、检察院、公安等部门协作，推动知识产权行政保护与司法保护有机衔接。落实知识产权纠纷多元化解机制，持续推进行政调解司法确认工作。加强华北五省（区市）、中部六省、沿黄九省（区）跨区域知识产权保护协作，推进跨区域知识产权行政保护案件线索移送、调查执行协助、联合执法保护、结果互认互享。 </w:t>
      </w:r>
    </w:p>
    <w:p w14:paraId="17184243">
      <w:pPr>
        <w:ind w:firstLine="640"/>
        <w:rPr>
          <w:rFonts w:hint="eastAsia" w:ascii="华文仿宋" w:hAnsi="华文仿宋" w:eastAsia="华文仿宋" w:cs="华文仿宋"/>
          <w:sz w:val="32"/>
          <w:szCs w:val="32"/>
          <w:lang w:val="en-US" w:eastAsia="zh-CN"/>
        </w:rPr>
      </w:pPr>
      <w:r>
        <w:rPr>
          <w:rFonts w:hint="default" w:ascii="华文仿宋" w:hAnsi="华文仿宋" w:eastAsia="华文仿宋" w:cs="华文仿宋"/>
          <w:b/>
          <w:bCs/>
          <w:sz w:val="32"/>
          <w:szCs w:val="32"/>
          <w:lang w:val="en-US" w:eastAsia="zh-CN"/>
        </w:rPr>
        <w:t>1</w:t>
      </w:r>
      <w:r>
        <w:rPr>
          <w:rFonts w:hint="eastAsia" w:ascii="华文仿宋" w:hAnsi="华文仿宋" w:eastAsia="华文仿宋" w:cs="华文仿宋"/>
          <w:b/>
          <w:bCs/>
          <w:sz w:val="32"/>
          <w:szCs w:val="32"/>
          <w:lang w:val="en-US" w:eastAsia="zh-CN"/>
        </w:rPr>
        <w:t>4</w:t>
      </w:r>
      <w:r>
        <w:rPr>
          <w:rFonts w:hint="default" w:ascii="华文仿宋" w:hAnsi="华文仿宋" w:eastAsia="华文仿宋" w:cs="华文仿宋"/>
          <w:b/>
          <w:bCs/>
          <w:sz w:val="32"/>
          <w:szCs w:val="32"/>
          <w:lang w:val="en-US" w:eastAsia="zh-CN"/>
        </w:rPr>
        <w:t>.加强知识产权快速协同保护。</w:t>
      </w:r>
      <w:r>
        <w:rPr>
          <w:rFonts w:hint="eastAsia" w:ascii="华文仿宋" w:hAnsi="华文仿宋" w:eastAsia="华文仿宋" w:cs="华文仿宋"/>
          <w:sz w:val="32"/>
          <w:szCs w:val="32"/>
          <w:lang w:val="en-US" w:eastAsia="zh-CN"/>
        </w:rPr>
        <w:t>加强省知识产权保护中心运行管理，开展专利预审备案主体和代理机构复核，加强预审质量和舆情监测管理。</w:t>
      </w:r>
      <w:r>
        <w:rPr>
          <w:rFonts w:hint="default" w:ascii="华文仿宋" w:hAnsi="华文仿宋" w:eastAsia="华文仿宋" w:cs="华文仿宋"/>
          <w:sz w:val="32"/>
          <w:szCs w:val="32"/>
          <w:lang w:val="en-US" w:eastAsia="zh-CN"/>
        </w:rPr>
        <w:t>充分发挥省知识产权保护中心专业机构专业优势，</w:t>
      </w:r>
      <w:r>
        <w:rPr>
          <w:rFonts w:hint="eastAsia" w:ascii="华文仿宋" w:hAnsi="华文仿宋" w:eastAsia="华文仿宋" w:cs="华文仿宋"/>
          <w:sz w:val="32"/>
          <w:szCs w:val="32"/>
          <w:lang w:val="en-US" w:eastAsia="zh-CN"/>
        </w:rPr>
        <w:t>为行政裁决、行政调解等提供协助或技术支持。支持在省知识产权保护中心开展专利复审无效案件多模式审理，促进专利确权与侵权纠纷行政裁决、行政调解间的衔接。支持其他有条件的知识产权公共服务机构开展知识产权海外维权、侵权预警等信息服务。</w:t>
      </w:r>
    </w:p>
    <w:p w14:paraId="06F44FC0">
      <w:pPr>
        <w:ind w:firstLine="640"/>
        <w:rPr>
          <w:rFonts w:hint="default" w:ascii="Times New Roman" w:hAnsi="Times New Roman" w:eastAsia="仿宋_GB2312" w:cs="Times New Roman"/>
          <w:sz w:val="32"/>
          <w:szCs w:val="32"/>
        </w:rPr>
      </w:pPr>
      <w:r>
        <w:rPr>
          <w:rFonts w:hint="default" w:ascii="华文仿宋" w:hAnsi="华文仿宋" w:eastAsia="华文仿宋" w:cs="华文仿宋"/>
          <w:b/>
          <w:bCs/>
          <w:sz w:val="32"/>
          <w:szCs w:val="32"/>
          <w:lang w:val="en-US" w:eastAsia="zh-CN"/>
        </w:rPr>
        <w:t>1</w:t>
      </w:r>
      <w:r>
        <w:rPr>
          <w:rFonts w:hint="eastAsia" w:ascii="华文仿宋" w:hAnsi="华文仿宋" w:eastAsia="华文仿宋" w:cs="华文仿宋"/>
          <w:b/>
          <w:bCs/>
          <w:sz w:val="32"/>
          <w:szCs w:val="32"/>
          <w:lang w:val="en-US" w:eastAsia="zh-CN"/>
        </w:rPr>
        <w:t>5</w:t>
      </w:r>
      <w:r>
        <w:rPr>
          <w:rFonts w:hint="default" w:ascii="华文仿宋" w:hAnsi="华文仿宋" w:eastAsia="华文仿宋" w:cs="华文仿宋"/>
          <w:b/>
          <w:bCs/>
          <w:sz w:val="32"/>
          <w:szCs w:val="32"/>
          <w:lang w:val="en-US" w:eastAsia="zh-CN"/>
        </w:rPr>
        <w:t>.深化知识产权维权援助机制。</w:t>
      </w:r>
      <w:r>
        <w:rPr>
          <w:rFonts w:hint="eastAsia" w:ascii="华文仿宋" w:hAnsi="华文仿宋" w:eastAsia="华文仿宋" w:cs="华文仿宋"/>
          <w:sz w:val="32"/>
          <w:szCs w:val="32"/>
          <w:lang w:val="en-US" w:eastAsia="zh-CN"/>
        </w:rPr>
        <w:t>贯彻落实</w:t>
      </w:r>
      <w:r>
        <w:rPr>
          <w:rFonts w:hint="default" w:ascii="华文仿宋" w:hAnsi="华文仿宋" w:eastAsia="华文仿宋" w:cs="华文仿宋"/>
          <w:sz w:val="32"/>
          <w:szCs w:val="32"/>
          <w:lang w:val="en-US" w:eastAsia="zh-CN"/>
        </w:rPr>
        <w:t>《知识产权维权援助工作指引》,深入实施《知识产权维权援助机构服务与管理规范》，不断提高维权援助规范化、标准化水平。</w:t>
      </w:r>
      <w:r>
        <w:rPr>
          <w:rFonts w:hint="eastAsia" w:ascii="华文仿宋" w:hAnsi="华文仿宋" w:eastAsia="华文仿宋" w:cs="华文仿宋"/>
          <w:sz w:val="32"/>
          <w:szCs w:val="32"/>
          <w:lang w:val="en-US" w:eastAsia="zh-CN"/>
        </w:rPr>
        <w:t>建强</w:t>
      </w:r>
      <w:r>
        <w:rPr>
          <w:rFonts w:hint="default" w:ascii="华文仿宋" w:hAnsi="华文仿宋" w:eastAsia="华文仿宋" w:cs="华文仿宋"/>
          <w:sz w:val="32"/>
          <w:szCs w:val="32"/>
          <w:lang w:val="en-US" w:eastAsia="zh-CN"/>
        </w:rPr>
        <w:t>维权援助工作体系，</w:t>
      </w:r>
      <w:r>
        <w:rPr>
          <w:rFonts w:hint="eastAsia" w:ascii="华文仿宋" w:hAnsi="华文仿宋" w:eastAsia="华文仿宋" w:cs="华文仿宋"/>
          <w:sz w:val="32"/>
          <w:szCs w:val="32"/>
          <w:lang w:val="en-US" w:eastAsia="zh-CN"/>
        </w:rPr>
        <w:t>完善</w:t>
      </w:r>
      <w:r>
        <w:rPr>
          <w:rFonts w:hint="default" w:ascii="华文仿宋" w:hAnsi="华文仿宋" w:eastAsia="华文仿宋" w:cs="华文仿宋"/>
          <w:sz w:val="32"/>
          <w:szCs w:val="32"/>
          <w:lang w:val="en-US" w:eastAsia="zh-CN"/>
        </w:rPr>
        <w:t>《知识产权维权援助分中心、工作站绩效</w:t>
      </w:r>
      <w:r>
        <w:rPr>
          <w:rFonts w:hint="eastAsia" w:ascii="华文仿宋" w:hAnsi="华文仿宋" w:eastAsia="华文仿宋" w:cs="华文仿宋"/>
          <w:sz w:val="32"/>
          <w:szCs w:val="32"/>
          <w:lang w:val="en-US" w:eastAsia="zh-CN"/>
        </w:rPr>
        <w:t>评价</w:t>
      </w:r>
      <w:r>
        <w:rPr>
          <w:rFonts w:hint="default" w:ascii="华文仿宋" w:hAnsi="华文仿宋" w:eastAsia="华文仿宋" w:cs="华文仿宋"/>
          <w:sz w:val="32"/>
          <w:szCs w:val="32"/>
          <w:lang w:val="en-US" w:eastAsia="zh-CN"/>
        </w:rPr>
        <w:t>方案（年度工作指引）》，推进维权援助机构建设。组织开展山西省知识产权维权援助技能竞赛，通过以赛促训、以赛促学，实现以赛提能，以赛促</w:t>
      </w:r>
      <w:r>
        <w:rPr>
          <w:rFonts w:hint="default" w:ascii="Times New Roman" w:hAnsi="Times New Roman" w:eastAsia="仿宋_GB2312" w:cs="Times New Roman"/>
          <w:sz w:val="32"/>
          <w:szCs w:val="32"/>
          <w:lang w:val="en-US" w:eastAsia="zh-CN"/>
        </w:rPr>
        <w:t>干</w:t>
      </w:r>
      <w:r>
        <w:rPr>
          <w:rFonts w:hint="default" w:ascii="Times New Roman" w:hAnsi="Times New Roman" w:eastAsia="仿宋_GB2312" w:cs="Times New Roman"/>
          <w:sz w:val="32"/>
          <w:szCs w:val="32"/>
        </w:rPr>
        <w:t>。</w:t>
      </w:r>
    </w:p>
    <w:p w14:paraId="4C384DF5">
      <w:pPr>
        <w:ind w:firstLine="640"/>
        <w:rPr>
          <w:rFonts w:hint="eastAsia" w:ascii="华文仿宋" w:hAnsi="华文仿宋" w:eastAsia="华文仿宋" w:cs="华文仿宋"/>
          <w:sz w:val="32"/>
          <w:szCs w:val="32"/>
          <w:lang w:val="en-US" w:eastAsia="zh-CN"/>
        </w:rPr>
      </w:pPr>
      <w:r>
        <w:rPr>
          <w:rFonts w:hint="default" w:ascii="华文仿宋" w:hAnsi="华文仿宋" w:eastAsia="华文仿宋" w:cs="华文仿宋"/>
          <w:b/>
          <w:bCs/>
          <w:sz w:val="32"/>
          <w:szCs w:val="32"/>
          <w:lang w:val="en-US" w:eastAsia="zh-CN"/>
        </w:rPr>
        <w:t>1</w:t>
      </w:r>
      <w:r>
        <w:rPr>
          <w:rFonts w:hint="eastAsia" w:ascii="华文仿宋" w:hAnsi="华文仿宋" w:eastAsia="华文仿宋" w:cs="华文仿宋"/>
          <w:b/>
          <w:bCs/>
          <w:sz w:val="32"/>
          <w:szCs w:val="32"/>
          <w:lang w:val="en-US" w:eastAsia="zh-CN"/>
        </w:rPr>
        <w:t>6</w:t>
      </w:r>
      <w:r>
        <w:rPr>
          <w:rFonts w:hint="default" w:ascii="华文仿宋" w:hAnsi="华文仿宋" w:eastAsia="华文仿宋" w:cs="华文仿宋"/>
          <w:b/>
          <w:bCs/>
          <w:sz w:val="32"/>
          <w:szCs w:val="32"/>
          <w:lang w:val="en-US" w:eastAsia="zh-CN"/>
        </w:rPr>
        <w:t>.</w:t>
      </w:r>
      <w:r>
        <w:rPr>
          <w:rFonts w:hint="eastAsia" w:ascii="华文仿宋" w:hAnsi="华文仿宋" w:eastAsia="华文仿宋" w:cs="华文仿宋"/>
          <w:b/>
          <w:bCs/>
          <w:sz w:val="32"/>
          <w:szCs w:val="32"/>
          <w:lang w:val="en-US" w:eastAsia="zh-CN"/>
        </w:rPr>
        <w:t>推动纠纷化解</w:t>
      </w:r>
      <w:r>
        <w:rPr>
          <w:rFonts w:hint="default" w:ascii="华文仿宋" w:hAnsi="华文仿宋" w:eastAsia="华文仿宋" w:cs="华文仿宋"/>
          <w:b/>
          <w:bCs/>
          <w:sz w:val="32"/>
          <w:szCs w:val="32"/>
          <w:lang w:val="en-US" w:eastAsia="zh-CN"/>
        </w:rPr>
        <w:t>社会共治。</w:t>
      </w:r>
      <w:r>
        <w:rPr>
          <w:rFonts w:hint="eastAsia" w:ascii="华文仿宋" w:hAnsi="华文仿宋" w:eastAsia="华文仿宋" w:cs="华文仿宋"/>
          <w:sz w:val="32"/>
          <w:szCs w:val="32"/>
          <w:lang w:val="en-US" w:eastAsia="zh-CN"/>
        </w:rPr>
        <w:t>加强对专利权属纠纷、发明奖励和报酬纠纷等的行政调解工作，强化办案指导和联动，提升调解质效。</w:t>
      </w:r>
      <w:r>
        <w:rPr>
          <w:rFonts w:hint="default" w:ascii="华文仿宋" w:hAnsi="华文仿宋" w:eastAsia="华文仿宋" w:cs="华文仿宋"/>
          <w:sz w:val="32"/>
          <w:szCs w:val="32"/>
          <w:lang w:val="en-US" w:eastAsia="zh-CN"/>
        </w:rPr>
        <w:t>加强知识产权纠纷调解组织和调解员队伍建设</w:t>
      </w:r>
      <w:r>
        <w:rPr>
          <w:rFonts w:hint="eastAsia" w:ascii="华文仿宋" w:hAnsi="华文仿宋" w:eastAsia="华文仿宋" w:cs="华文仿宋"/>
          <w:sz w:val="32"/>
          <w:szCs w:val="32"/>
          <w:lang w:val="en-US" w:eastAsia="zh-CN"/>
        </w:rPr>
        <w:t>，增强调解专业性和公信力</w:t>
      </w:r>
      <w:r>
        <w:rPr>
          <w:rFonts w:hint="default" w:ascii="华文仿宋" w:hAnsi="华文仿宋" w:eastAsia="华文仿宋" w:cs="华文仿宋"/>
          <w:sz w:val="32"/>
          <w:szCs w:val="32"/>
          <w:lang w:val="en-US" w:eastAsia="zh-CN"/>
        </w:rPr>
        <w:t>。推进知识产权纠纷在线诉调对接工作。</w:t>
      </w:r>
      <w:r>
        <w:rPr>
          <w:rFonts w:hint="eastAsia" w:ascii="华文仿宋" w:hAnsi="华文仿宋" w:eastAsia="华文仿宋" w:cs="华文仿宋"/>
          <w:sz w:val="32"/>
          <w:szCs w:val="32"/>
          <w:lang w:val="en-US" w:eastAsia="zh-CN"/>
        </w:rPr>
        <w:t>加强知识产权纠纷仲裁工作，拓展利用仲裁渠道解决知识产权纠纷。</w:t>
      </w:r>
      <w:r>
        <w:rPr>
          <w:rFonts w:hint="eastAsia" w:ascii="CESI仿宋-GB2312" w:hAnsi="CESI仿宋-GB2312" w:eastAsia="CESI仿宋-GB2312" w:cs="CESI仿宋-GB2312"/>
          <w:sz w:val="32"/>
          <w:szCs w:val="32"/>
        </w:rPr>
        <w:t>加强知识产权领域诚信体系建设，对</w:t>
      </w:r>
      <w:r>
        <w:rPr>
          <w:rFonts w:hint="eastAsia" w:ascii="CESI仿宋-GB2312" w:hAnsi="CESI仿宋-GB2312" w:eastAsia="CESI仿宋-GB2312" w:cs="CESI仿宋-GB2312"/>
          <w:sz w:val="32"/>
          <w:szCs w:val="32"/>
          <w:lang w:val="en-US" w:eastAsia="zh-CN"/>
        </w:rPr>
        <w:t>商标恶意</w:t>
      </w:r>
      <w:r>
        <w:rPr>
          <w:rFonts w:hint="eastAsia" w:ascii="华文仿宋" w:hAnsi="华文仿宋" w:eastAsia="华文仿宋" w:cs="华文仿宋"/>
          <w:sz w:val="32"/>
          <w:szCs w:val="32"/>
          <w:lang w:val="en-US" w:eastAsia="zh-CN"/>
        </w:rPr>
        <w:t>抢注、非正常专利申请等行为依法依规进行失信惩戒。充分发挥知识产权纠纷多元调解典型案例作用，做好案例评选、推送、发布工作，加大经验交流推广力度。</w:t>
      </w:r>
    </w:p>
    <w:p w14:paraId="5F7504A6">
      <w:pPr>
        <w:ind w:firstLine="640"/>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17.积极探索智慧监管保护模式。</w:t>
      </w:r>
      <w:r>
        <w:rPr>
          <w:rFonts w:hint="eastAsia" w:ascii="华文仿宋" w:hAnsi="华文仿宋" w:eastAsia="华文仿宋" w:cs="华文仿宋"/>
          <w:sz w:val="32"/>
          <w:szCs w:val="32"/>
          <w:lang w:val="en-US" w:eastAsia="zh-CN"/>
        </w:rPr>
        <w:t>加强互联网、大数据、云计算、区块链等新技术在知识产权监管中的探索研究。推广使用国家知识产权保护信息平台，建设我省知识产权公共服务平台，加强数据共享和业务协同。稳步推进《商品交易市场知识产权保护规范》《电子商务平台知识产权保护管理》国家标准实施，加强对电商平台侵权违法行为线索的监测处置。</w:t>
      </w:r>
    </w:p>
    <w:p w14:paraId="46B52E55">
      <w:pPr>
        <w:ind w:firstLine="640"/>
        <w:rPr>
          <w:rFonts w:ascii="黑体" w:hAnsi="黑体" w:eastAsia="黑体" w:cs="黑体"/>
          <w:color w:val="343434"/>
          <w:spacing w:val="5"/>
          <w:sz w:val="32"/>
          <w:szCs w:val="32"/>
        </w:rPr>
      </w:pPr>
      <w:r>
        <w:rPr>
          <w:rFonts w:ascii="黑体" w:hAnsi="黑体" w:eastAsia="黑体" w:cs="黑体"/>
          <w:color w:val="343434"/>
          <w:spacing w:val="5"/>
          <w:sz w:val="32"/>
          <w:szCs w:val="32"/>
        </w:rPr>
        <w:t>三、工作要求</w:t>
      </w:r>
    </w:p>
    <w:p w14:paraId="782B4F06">
      <w:pPr>
        <w:ind w:firstLine="640"/>
        <w:rPr>
          <w:rFonts w:hint="default" w:ascii="华文仿宋" w:hAnsi="华文仿宋" w:eastAsia="华文仿宋" w:cs="华文仿宋"/>
          <w:sz w:val="32"/>
          <w:szCs w:val="32"/>
          <w:lang w:val="en-US" w:eastAsia="zh-CN"/>
        </w:rPr>
      </w:pPr>
      <w:r>
        <w:rPr>
          <w:rFonts w:ascii="楷体" w:hAnsi="楷体" w:eastAsia="楷体" w:cs="楷体"/>
          <w:b/>
          <w:bCs/>
          <w:spacing w:val="7"/>
          <w:sz w:val="32"/>
          <w:szCs w:val="32"/>
        </w:rPr>
        <w:t>（一）</w:t>
      </w:r>
      <w:r>
        <w:rPr>
          <w:rFonts w:hint="eastAsia" w:ascii="楷体" w:hAnsi="楷体" w:eastAsia="楷体" w:cs="楷体"/>
          <w:b/>
          <w:bCs/>
          <w:spacing w:val="7"/>
          <w:sz w:val="32"/>
          <w:szCs w:val="32"/>
          <w:lang w:eastAsia="zh-CN"/>
        </w:rPr>
        <w:t>加强</w:t>
      </w:r>
      <w:r>
        <w:rPr>
          <w:rFonts w:ascii="楷体" w:hAnsi="楷体" w:eastAsia="楷体" w:cs="楷体"/>
          <w:b/>
          <w:bCs/>
          <w:spacing w:val="7"/>
          <w:sz w:val="32"/>
          <w:szCs w:val="32"/>
        </w:rPr>
        <w:t>组织领导</w:t>
      </w:r>
      <w:r>
        <w:rPr>
          <w:rFonts w:hint="eastAsia" w:ascii="楷体" w:hAnsi="楷体" w:eastAsia="楷体" w:cs="楷体"/>
          <w:b/>
          <w:bCs/>
          <w:spacing w:val="7"/>
          <w:sz w:val="32"/>
          <w:szCs w:val="32"/>
          <w:lang w:eastAsia="zh-CN"/>
        </w:rPr>
        <w:t>。</w:t>
      </w:r>
      <w:r>
        <w:rPr>
          <w:rFonts w:hint="eastAsia" w:ascii="华文仿宋" w:hAnsi="华文仿宋" w:eastAsia="华文仿宋" w:cs="华文仿宋"/>
          <w:sz w:val="32"/>
          <w:szCs w:val="32"/>
          <w:lang w:val="en-US" w:eastAsia="zh-CN"/>
        </w:rPr>
        <w:t>开展知识产权行政保护工作是贯彻党</w:t>
      </w:r>
      <w:r>
        <w:rPr>
          <w:rFonts w:hint="default" w:ascii="华文仿宋" w:hAnsi="华文仿宋" w:eastAsia="华文仿宋" w:cs="华文仿宋"/>
          <w:sz w:val="32"/>
          <w:szCs w:val="32"/>
          <w:lang w:val="en-US" w:eastAsia="zh-CN"/>
        </w:rPr>
        <w:t>中央、国务院和省委、省政府决策部署的重要举措，各地要高度重视，结合本地实际，细化工作措施，建立工作台账，明确责任部门。要精心组织实施，加强督导检查，确保各项工作取得实效。</w:t>
      </w:r>
      <w:r>
        <w:rPr>
          <w:rFonts w:hint="eastAsia" w:ascii="华文仿宋" w:hAnsi="华文仿宋" w:eastAsia="华文仿宋" w:cs="华文仿宋"/>
          <w:sz w:val="32"/>
          <w:szCs w:val="32"/>
          <w:lang w:val="en-US" w:eastAsia="zh-CN"/>
        </w:rPr>
        <w:t>省局将视情对工作负责、成绩突出的单位和人员予以通报表扬，对侵权多发频发、保护效果不佳的予以通报批评。</w:t>
      </w:r>
    </w:p>
    <w:p w14:paraId="5B430A40">
      <w:pPr>
        <w:ind w:firstLine="640"/>
        <w:rPr>
          <w:rFonts w:hint="eastAsia" w:ascii="CESI仿宋-GB2312" w:hAnsi="CESI仿宋-GB2312" w:eastAsia="CESI仿宋-GB2312" w:cs="CESI仿宋-GB2312"/>
          <w:sz w:val="32"/>
          <w:szCs w:val="32"/>
        </w:rPr>
      </w:pPr>
      <w:r>
        <w:rPr>
          <w:rFonts w:ascii="楷体" w:hAnsi="楷体" w:eastAsia="楷体" w:cs="楷体"/>
          <w:b/>
          <w:bCs/>
          <w:spacing w:val="7"/>
          <w:sz w:val="32"/>
          <w:szCs w:val="32"/>
        </w:rPr>
        <w:t>（二）</w:t>
      </w:r>
      <w:r>
        <w:rPr>
          <w:rFonts w:hint="eastAsia" w:ascii="楷体" w:hAnsi="楷体" w:eastAsia="楷体" w:cs="楷体"/>
          <w:b/>
          <w:bCs/>
          <w:spacing w:val="7"/>
          <w:sz w:val="32"/>
          <w:szCs w:val="32"/>
          <w:lang w:eastAsia="zh-CN"/>
        </w:rPr>
        <w:t>加强</w:t>
      </w:r>
      <w:r>
        <w:rPr>
          <w:rFonts w:ascii="楷体" w:hAnsi="楷体" w:eastAsia="楷体" w:cs="楷体"/>
          <w:b/>
          <w:bCs/>
          <w:spacing w:val="7"/>
          <w:sz w:val="32"/>
          <w:szCs w:val="32"/>
        </w:rPr>
        <w:t>业务指导</w:t>
      </w:r>
      <w:r>
        <w:rPr>
          <w:rFonts w:hint="eastAsia" w:ascii="楷体" w:hAnsi="楷体" w:eastAsia="楷体" w:cs="楷体"/>
          <w:b/>
          <w:bCs/>
          <w:spacing w:val="7"/>
          <w:sz w:val="32"/>
          <w:szCs w:val="32"/>
          <w:lang w:eastAsia="zh-CN"/>
        </w:rPr>
        <w:t>。</w:t>
      </w:r>
      <w:r>
        <w:rPr>
          <w:rFonts w:hint="eastAsia" w:ascii="华文仿宋" w:hAnsi="华文仿宋" w:eastAsia="华文仿宋" w:cs="华文仿宋"/>
          <w:sz w:val="32"/>
          <w:szCs w:val="32"/>
          <w:lang w:val="en-US" w:eastAsia="zh-CN"/>
        </w:rPr>
        <w:t>健全省市区县层级化执法指导工作体系，全面加强知识产权执法办案业务指导。持续开展年度知识产权行政保护案卷评查工作。对于疑难案件请示，做好案情研判、法理分析等工作并及时予以答复。加大对批复案件的跟踪处置力度，提高案件办理质量和效率。积极做好年度知识产权行政保护典型案例和指导案例的遴选报送和评选发布工作。</w:t>
      </w:r>
    </w:p>
    <w:p w14:paraId="4232C7B2">
      <w:pPr>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　　</w:t>
      </w:r>
      <w:r>
        <w:rPr>
          <w:rFonts w:hint="eastAsia" w:ascii="楷体" w:hAnsi="楷体" w:eastAsia="楷体" w:cs="楷体"/>
          <w:b/>
          <w:bCs/>
          <w:spacing w:val="7"/>
          <w:sz w:val="32"/>
          <w:szCs w:val="32"/>
          <w:lang w:eastAsia="zh-CN"/>
        </w:rPr>
        <w:t>（三）加强</w:t>
      </w:r>
      <w:r>
        <w:rPr>
          <w:rFonts w:ascii="楷体" w:hAnsi="楷体" w:eastAsia="楷体" w:cs="楷体"/>
          <w:b/>
          <w:bCs/>
          <w:spacing w:val="7"/>
          <w:sz w:val="32"/>
          <w:szCs w:val="32"/>
        </w:rPr>
        <w:t>宣传培训</w:t>
      </w:r>
      <w:r>
        <w:rPr>
          <w:rFonts w:hint="eastAsia" w:ascii="楷体" w:hAnsi="楷体" w:eastAsia="楷体" w:cs="楷体"/>
          <w:b/>
          <w:bCs/>
          <w:spacing w:val="7"/>
          <w:sz w:val="32"/>
          <w:szCs w:val="32"/>
          <w:lang w:eastAsia="zh-CN"/>
        </w:rPr>
        <w:t>。</w:t>
      </w:r>
      <w:r>
        <w:rPr>
          <w:rFonts w:hint="eastAsia" w:ascii="华文仿宋" w:hAnsi="华文仿宋" w:eastAsia="华文仿宋" w:cs="华文仿宋"/>
          <w:sz w:val="32"/>
          <w:szCs w:val="32"/>
          <w:lang w:val="en-US" w:eastAsia="zh-CN"/>
        </w:rPr>
        <w:t>统筹传统媒体与新兴媒体，用好融媒体，多渠道宣传知识产权保护工作的举措和成效。充分利用全国知识产权宣传周等重要时机，大力开展集中宣传，发布典型案例和经验做法，为加强行政保护营造良好氛围。加强对《专利纠纷行政裁决和调解办法》等新出台政策法规的宣贯培训，积极开展业务培训、案例研讨等活动，提升知识产权行政保护能力。</w:t>
      </w:r>
    </w:p>
    <w:p w14:paraId="61A761ED">
      <w:pPr>
        <w:rPr>
          <w:rFonts w:hint="eastAsia" w:ascii="CESI仿宋-GB2312" w:hAnsi="CESI仿宋-GB2312" w:eastAsia="CESI仿宋-GB2312" w:cs="CESI仿宋-GB2312"/>
          <w:sz w:val="32"/>
          <w:szCs w:val="32"/>
        </w:rPr>
      </w:pPr>
    </w:p>
    <w:p w14:paraId="7C21DC45">
      <w:pPr>
        <w:keepNext w:val="0"/>
        <w:keepLines w:val="0"/>
        <w:pageBreakBefore w:val="0"/>
        <w:widowControl w:val="0"/>
        <w:kinsoku/>
        <w:wordWrap/>
        <w:overflowPunct/>
        <w:topLinePunct w:val="0"/>
        <w:autoSpaceDE w:val="0"/>
        <w:autoSpaceDN w:val="0"/>
        <w:bidi w:val="0"/>
        <w:adjustRightInd/>
        <w:snapToGrid/>
        <w:spacing w:after="0" w:line="300" w:lineRule="atLeast"/>
        <w:ind w:right="0"/>
        <w:jc w:val="both"/>
        <w:textAlignment w:val="auto"/>
        <w:rPr>
          <w:rFonts w:hint="eastAsia" w:ascii="CESI仿宋-GB2312" w:hAnsi="CESI仿宋-GB2312" w:eastAsia="CESI仿宋-GB2312" w:cs="CESI仿宋-GB2312"/>
          <w:sz w:val="32"/>
          <w:szCs w:val="32"/>
        </w:rPr>
      </w:pPr>
    </w:p>
    <w:p w14:paraId="654F8BD9">
      <w:pPr>
        <w:pStyle w:val="2"/>
        <w:rPr>
          <w:rFonts w:hint="eastAsia" w:ascii="CESI仿宋-GB2312" w:hAnsi="CESI仿宋-GB2312" w:eastAsia="CESI仿宋-GB2312" w:cs="CESI仿宋-GB2312"/>
          <w:sz w:val="32"/>
          <w:szCs w:val="32"/>
        </w:rPr>
      </w:pPr>
    </w:p>
    <w:p w14:paraId="6249CB2C">
      <w:pPr>
        <w:pStyle w:val="3"/>
        <w:rPr>
          <w:rFonts w:hint="eastAsia" w:ascii="CESI仿宋-GB2312" w:hAnsi="CESI仿宋-GB2312" w:eastAsia="CESI仿宋-GB2312" w:cs="CESI仿宋-GB2312"/>
          <w:sz w:val="32"/>
          <w:szCs w:val="32"/>
        </w:rPr>
      </w:pPr>
    </w:p>
    <w:p w14:paraId="5E9E68F1">
      <w:pPr>
        <w:pStyle w:val="2"/>
        <w:rPr>
          <w:rFonts w:hint="eastAsia" w:ascii="CESI仿宋-GB2312" w:hAnsi="CESI仿宋-GB2312" w:eastAsia="CESI仿宋-GB2312" w:cs="CESI仿宋-GB2312"/>
          <w:sz w:val="32"/>
          <w:szCs w:val="32"/>
        </w:rPr>
      </w:pPr>
    </w:p>
    <w:p w14:paraId="73822B63">
      <w:pPr>
        <w:pStyle w:val="3"/>
        <w:rPr>
          <w:rFonts w:hint="eastAsia" w:ascii="CESI仿宋-GB2312" w:hAnsi="CESI仿宋-GB2312" w:eastAsia="CESI仿宋-GB2312" w:cs="CESI仿宋-GB2312"/>
          <w:sz w:val="32"/>
          <w:szCs w:val="32"/>
        </w:rPr>
      </w:pPr>
    </w:p>
    <w:p w14:paraId="07BBD999">
      <w:pPr>
        <w:pStyle w:val="2"/>
        <w:rPr>
          <w:rFonts w:hint="eastAsia" w:ascii="CESI仿宋-GB2312" w:hAnsi="CESI仿宋-GB2312" w:eastAsia="CESI仿宋-GB2312" w:cs="CESI仿宋-GB2312"/>
          <w:sz w:val="32"/>
          <w:szCs w:val="32"/>
        </w:rPr>
      </w:pPr>
    </w:p>
    <w:p w14:paraId="5891ED71">
      <w:pPr>
        <w:pStyle w:val="3"/>
        <w:rPr>
          <w:rFonts w:hint="eastAsia" w:ascii="CESI仿宋-GB2312" w:hAnsi="CESI仿宋-GB2312" w:eastAsia="CESI仿宋-GB2312" w:cs="CESI仿宋-GB2312"/>
          <w:sz w:val="32"/>
          <w:szCs w:val="32"/>
        </w:rPr>
      </w:pPr>
    </w:p>
    <w:p w14:paraId="69A7D993">
      <w:pPr>
        <w:pStyle w:val="2"/>
        <w:rPr>
          <w:rFonts w:hint="eastAsia" w:ascii="CESI仿宋-GB2312" w:hAnsi="CESI仿宋-GB2312" w:eastAsia="CESI仿宋-GB2312" w:cs="CESI仿宋-GB2312"/>
          <w:sz w:val="32"/>
          <w:szCs w:val="32"/>
        </w:rPr>
      </w:pPr>
    </w:p>
    <w:p w14:paraId="29178B2B">
      <w:pPr>
        <w:pStyle w:val="3"/>
        <w:rPr>
          <w:rFonts w:hint="eastAsia" w:ascii="CESI仿宋-GB2312" w:hAnsi="CESI仿宋-GB2312" w:eastAsia="CESI仿宋-GB2312" w:cs="CESI仿宋-GB2312"/>
          <w:sz w:val="32"/>
          <w:szCs w:val="32"/>
        </w:rPr>
      </w:pPr>
    </w:p>
    <w:p w14:paraId="628B9F74">
      <w:pPr>
        <w:pStyle w:val="2"/>
        <w:rPr>
          <w:rFonts w:hint="eastAsia" w:ascii="CESI仿宋-GB2312" w:hAnsi="CESI仿宋-GB2312" w:eastAsia="CESI仿宋-GB2312" w:cs="CESI仿宋-GB2312"/>
          <w:sz w:val="32"/>
          <w:szCs w:val="32"/>
        </w:rPr>
      </w:pPr>
    </w:p>
    <w:p w14:paraId="07091504">
      <w:pPr>
        <w:pStyle w:val="3"/>
        <w:rPr>
          <w:rFonts w:hint="eastAsia" w:ascii="CESI仿宋-GB2312" w:hAnsi="CESI仿宋-GB2312" w:eastAsia="CESI仿宋-GB2312" w:cs="CESI仿宋-GB2312"/>
          <w:sz w:val="32"/>
          <w:szCs w:val="32"/>
        </w:rPr>
      </w:pPr>
    </w:p>
    <w:p w14:paraId="3DDB646B">
      <w:pPr>
        <w:pStyle w:val="2"/>
        <w:rPr>
          <w:rFonts w:hint="eastAsia" w:ascii="CESI仿宋-GB2312" w:hAnsi="CESI仿宋-GB2312" w:eastAsia="CESI仿宋-GB2312" w:cs="CESI仿宋-GB2312"/>
          <w:sz w:val="32"/>
          <w:szCs w:val="32"/>
        </w:rPr>
      </w:pPr>
    </w:p>
    <w:p w14:paraId="496CE6EA">
      <w:pPr>
        <w:pStyle w:val="3"/>
        <w:rPr>
          <w:rFonts w:hint="eastAsia" w:ascii="CESI仿宋-GB2312" w:hAnsi="CESI仿宋-GB2312" w:eastAsia="CESI仿宋-GB2312" w:cs="CESI仿宋-GB2312"/>
          <w:sz w:val="32"/>
          <w:szCs w:val="32"/>
        </w:rPr>
      </w:pPr>
    </w:p>
    <w:p w14:paraId="65C76962">
      <w:pPr>
        <w:pStyle w:val="2"/>
        <w:rPr>
          <w:rFonts w:hint="eastAsia" w:ascii="CESI仿宋-GB2312" w:hAnsi="CESI仿宋-GB2312" w:eastAsia="CESI仿宋-GB2312" w:cs="CESI仿宋-GB2312"/>
          <w:sz w:val="32"/>
          <w:szCs w:val="32"/>
        </w:rPr>
      </w:pPr>
    </w:p>
    <w:p w14:paraId="5FB21710">
      <w:pPr>
        <w:pStyle w:val="3"/>
        <w:rPr>
          <w:rFonts w:hint="eastAsia" w:ascii="CESI仿宋-GB2312" w:hAnsi="CESI仿宋-GB2312" w:eastAsia="CESI仿宋-GB2312" w:cs="CESI仿宋-GB2312"/>
          <w:sz w:val="32"/>
          <w:szCs w:val="32"/>
        </w:rPr>
      </w:pPr>
    </w:p>
    <w:p w14:paraId="3A7F9073">
      <w:pPr>
        <w:pStyle w:val="2"/>
        <w:rPr>
          <w:rFonts w:hint="eastAsia" w:ascii="CESI仿宋-GB2312" w:hAnsi="CESI仿宋-GB2312" w:eastAsia="CESI仿宋-GB2312" w:cs="CESI仿宋-GB2312"/>
          <w:sz w:val="32"/>
          <w:szCs w:val="32"/>
        </w:rPr>
      </w:pPr>
    </w:p>
    <w:p w14:paraId="4D29B402">
      <w:pPr>
        <w:pStyle w:val="3"/>
        <w:rPr>
          <w:rFonts w:hint="eastAsia" w:ascii="CESI仿宋-GB2312" w:hAnsi="CESI仿宋-GB2312" w:eastAsia="CESI仿宋-GB2312" w:cs="CESI仿宋-GB2312"/>
          <w:sz w:val="32"/>
          <w:szCs w:val="32"/>
        </w:rPr>
      </w:pPr>
    </w:p>
    <w:p w14:paraId="6F00EF31">
      <w:pPr>
        <w:keepNext w:val="0"/>
        <w:keepLines w:val="0"/>
        <w:pageBreakBefore w:val="0"/>
        <w:widowControl w:val="0"/>
        <w:kinsoku/>
        <w:wordWrap/>
        <w:overflowPunct/>
        <w:topLinePunct w:val="0"/>
        <w:autoSpaceDE w:val="0"/>
        <w:autoSpaceDN w:val="0"/>
        <w:bidi w:val="0"/>
        <w:adjustRightInd/>
        <w:snapToGrid/>
        <w:spacing w:after="0" w:line="300" w:lineRule="atLeast"/>
        <w:ind w:right="0"/>
        <w:jc w:val="both"/>
        <w:textAlignment w:val="auto"/>
        <w:rPr>
          <w:rFonts w:hint="eastAsia" w:ascii="CESI仿宋-GB2312" w:hAnsi="CESI仿宋-GB2312" w:eastAsia="CESI仿宋-GB2312" w:cs="CESI仿宋-GB2312"/>
          <w:sz w:val="32"/>
          <w:szCs w:val="32"/>
        </w:rPr>
      </w:pPr>
    </w:p>
    <w:p w14:paraId="021C83A3">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00"/>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A2A3D"/>
    <w:rsid w:val="506A2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Arial" w:hAnsi="Arial" w:eastAsia="Arial" w:cs="Arial"/>
      <w:sz w:val="21"/>
      <w:szCs w:val="21"/>
      <w:lang w:val="en-US" w:eastAsia="en-US" w:bidi="ar-SA"/>
    </w:rPr>
  </w:style>
  <w:style w:type="paragraph" w:styleId="3">
    <w:name w:val="Body Text First Indent"/>
    <w:basedOn w:val="2"/>
    <w:next w:val="2"/>
    <w:qFormat/>
    <w:uiPriority w:val="0"/>
    <w:pPr>
      <w:ind w:firstLine="7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2025-04-07T07:59:00Z</dcterms:created>
  <dc:creator>（＾Ｏ＾☆♪晶晶 </dc:creator>
  <cp:lastModifiedBy>（＾Ｏ＾☆♪晶晶 </cp:lastModifiedBy>
  <dcterms:modified xsi:type="dcterms:W3CDTF">2025-04-07T08:00:02Z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3B32206E2BAA43B6B72B376A940A1FF0_11</vt:lpwstr>
  </property>
  <property fmtid="{D5CDD505-2E9C-101B-9397-08002B2CF9AE}" pid="4" name="KSOTemplateDocerSaveRecord">
    <vt:lpwstr>eyJoZGlkIjoiNjJmOGQ3OGI3MjVlZWUwZDIwNGNlNjY3NTNlZWEyOWMiLCJ1c2VySWQiOiIzMTkyNjYzMzMifQ==</vt:lpwstr>
  </property>
</Properties>
</file>