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bidi w:val="0"/>
        <w:adjustRightInd w:val="0"/>
        <w:snapToGrid w:val="0"/>
        <w:spacing w:beforeLines="0" w:afterLines="0" w:line="336" w:lineRule="auto"/>
        <w:ind w:left="0" w:leftChars="0" w:firstLine="0" w:firstLineChars="0"/>
        <w:jc w:val="both"/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 w:bidi="ar-SA"/>
        </w:rPr>
      </w:pPr>
      <w:bookmarkStart w:id="24" w:name="_GoBack"/>
      <w:r>
        <w:rPr>
          <w:rFonts w:hint="eastAsia" w:ascii="CESI黑体-GB2312" w:hAnsi="CESI黑体-GB2312" w:eastAsia="CESI黑体-GB2312" w:cs="CESI黑体-GB2312"/>
          <w:spacing w:val="0"/>
          <w:sz w:val="32"/>
          <w:szCs w:val="32"/>
          <w:lang w:eastAsia="zh-CN" w:bidi="ar-SA"/>
        </w:rPr>
        <w:t>附件</w:t>
      </w:r>
      <w:r>
        <w:rPr>
          <w:rFonts w:hint="eastAsia" w:ascii="CESI黑体-GB2312" w:hAnsi="CESI黑体-GB2312" w:eastAsia="CESI黑体-GB2312" w:cs="CESI黑体-GB2312"/>
          <w:spacing w:val="0"/>
          <w:sz w:val="32"/>
          <w:szCs w:val="32"/>
          <w:lang w:val="en-US" w:eastAsia="zh-CN" w:bidi="ar-SA"/>
        </w:rPr>
        <w:t>2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/>
          <w:bCs/>
          <w:spacing w:val="11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1"/>
          <w:kern w:val="2"/>
          <w:sz w:val="44"/>
          <w:szCs w:val="44"/>
          <w:lang w:val="en-US" w:eastAsia="zh-CN" w:bidi="ar-SA"/>
        </w:rPr>
        <w:t>2023年度科普统计调查表</w:t>
      </w:r>
    </w:p>
    <w:bookmarkEnd w:id="2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360" w:lineRule="auto"/>
        <w:ind w:firstLine="0" w:firstLineChars="0"/>
        <w:jc w:val="center"/>
        <w:textAlignment w:val="auto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黑体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pacing w:val="6"/>
          <w:kern w:val="2"/>
          <w:sz w:val="32"/>
          <w:szCs w:val="32"/>
          <w:lang w:val="en-US" w:eastAsia="zh-CN" w:bidi="ar-SA"/>
        </w:rPr>
        <w:t>中华人民共和国科学技术部制定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6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 w:cs="Times New Roman"/>
          <w:spacing w:val="6"/>
          <w:kern w:val="2"/>
          <w:sz w:val="32"/>
          <w:szCs w:val="32"/>
          <w:lang w:val="en-US" w:eastAsia="zh-CN" w:bidi="ar-SA"/>
        </w:rPr>
        <w:t>国家统计局批准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br w:type="page"/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hint="eastAsia"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  <w:t>本报表制度根据《中华人民共和国统计法》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  <w:t>的有关规定制定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《中华人民共和国统计法》第七条规定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《中华人民共和国统计法》第九条规定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统计机构和统计人员对在统计工作中知悉的国家秘密、商业秘密和个人信息，应当予以保密。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《中华人民共和国统计法》第二十五条规定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统计调查中获得的能够识别或者推断单个统计调查对象身份的资料，任何单位和个人不得对外提供、泄露，不得用于统计以外的目的。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widowControl w:val="0"/>
        <w:adjustRightInd w:val="0"/>
        <w:snapToGrid w:val="0"/>
        <w:spacing w:before="0" w:beforeLines="0" w:beforeAutospacing="0" w:after="0" w:afterLines="0" w:afterAutospacing="0" w:line="336" w:lineRule="auto"/>
        <w:ind w:firstLine="0" w:firstLineChars="0"/>
        <w:jc w:val="center"/>
        <w:outlineLvl w:val="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  <w:t>填 报</w:t>
      </w:r>
      <w:r>
        <w:rPr>
          <w:rFonts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  <w:t>说</w:t>
      </w:r>
      <w:r>
        <w:rPr>
          <w:rFonts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  <w:t>明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（一）调查目的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为了掌握国家科普资源基本状况，了解国家科普工作运行质量；切实履行科技部门的职责，建立有序的工作制度，特制定本调查制度。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（二）调查对象和统计范围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国家机关、社会团体和企事业单位等机构和组织。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（三）调查内容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本调查制度主要调查上述对象的科普人员、科普场地、科普经费、科普传媒、科普活动、科学教育六个方面。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（四）调查频率和时间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hint="eastAsia"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本调查制度为年报。</w:t>
      </w:r>
      <w:r>
        <w:rPr>
          <w:rFonts w:hint="eastAsia" w:ascii="CESI仿宋-GB2312" w:hAnsi="CESI仿宋-GB2312" w:eastAsia="CESI仿宋-GB2312" w:cs="CESI仿宋-GB2312"/>
          <w:spacing w:val="0"/>
          <w:sz w:val="28"/>
          <w:szCs w:val="28"/>
        </w:rPr>
        <w:t>报告期为1月1日—12月31日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（五）调查方法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本调查制度采用全面调查方法。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（六）组织实施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由科技部牵头，会同有关部门共同组织实施。科技部负责制定统计方案，提出工作要求，指导和协调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eastAsia="zh-CN"/>
        </w:rPr>
        <w:t>党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中央、国务院有关部门和省科技行政管理部门的统计工作。中国科学技术信息研究所负责具体统计实施工作。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（七）填报和报送要求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填报单位需严格按照报表所规定的指标含义、指标解释进行填报。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本调查制度实行统一的统计分类标准编码，各有关部门必须严格执行。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（八）质量控制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本调查制度针对统计业务流程的各环节进行质量管理和控制。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（九）统计资料公布及数据共享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本调查制度综合统计数据每</w:t>
      </w:r>
      <w:r>
        <w:rPr>
          <w:rFonts w:hint="eastAsia" w:ascii="CESI仿宋-GB2312" w:hAnsi="CESI仿宋-GB2312" w:eastAsia="CESI仿宋-GB2312" w:cs="CESI仿宋-GB2312"/>
          <w:spacing w:val="0"/>
          <w:sz w:val="28"/>
          <w:szCs w:val="28"/>
        </w:rPr>
        <w:t>年12月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向社会公布。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（十）统计信息共享的内容、方式、时限、渠道、责任单位和责任人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本调查制度综合统计数据可与其他政府部门及本系统内共享使用，按照协定方式共享，在最终审定数</w:t>
      </w:r>
      <w:r>
        <w:rPr>
          <w:rFonts w:hint="eastAsia" w:ascii="CESI仿宋-GB2312" w:hAnsi="CESI仿宋-GB2312" w:eastAsia="CESI仿宋-GB2312" w:cs="CESI仿宋-GB2312"/>
          <w:spacing w:val="0"/>
          <w:sz w:val="28"/>
          <w:szCs w:val="28"/>
        </w:rPr>
        <w:t>据10个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工作日后可以共享，共享责任单位为科技部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eastAsia="zh-CN"/>
        </w:rPr>
        <w:t>相关司局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，共享责任人为科技部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  <w:lang w:eastAsia="zh-CN"/>
        </w:rPr>
        <w:t>相关司局</w:t>
      </w: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工作负责人。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560" w:firstLineChars="200"/>
        <w:jc w:val="both"/>
        <w:outlineLvl w:val="1"/>
        <w:rPr>
          <w:rFonts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（十一）使用名录库情况</w:t>
      </w:r>
    </w:p>
    <w:p>
      <w:pPr>
        <w:bidi w:val="0"/>
        <w:adjustRightInd w:val="0"/>
        <w:snapToGrid w:val="0"/>
        <w:spacing w:line="336" w:lineRule="auto"/>
        <w:ind w:firstLine="616"/>
        <w:outlineLvl w:val="9"/>
        <w:rPr>
          <w:rFonts w:hint="default" w:ascii="Times New Roman" w:hAnsi="Times New Roman" w:eastAsia="仿宋_GB2312" w:cs="Times New Roman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0"/>
          <w:sz w:val="28"/>
          <w:szCs w:val="28"/>
        </w:rPr>
        <w:t>与国家统计局建立衔接联动机制，本制度使用国家基本单位名录库补充完善调查单位基本信息，加强名录库信息互惠共享。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53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</w:rPr>
      </w:pPr>
    </w:p>
    <w:p>
      <w:pPr>
        <w:keepNext w:val="0"/>
        <w:keepLines w:val="0"/>
        <w:widowControl w:val="0"/>
        <w:adjustRightInd w:val="0"/>
        <w:snapToGrid w:val="0"/>
        <w:spacing w:before="0" w:beforeLines="0" w:beforeAutospacing="0" w:after="0" w:afterLines="0" w:afterAutospacing="0" w:line="336" w:lineRule="auto"/>
        <w:ind w:firstLine="0" w:firstLineChars="0"/>
        <w:jc w:val="center"/>
        <w:outlineLvl w:val="0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长城小标宋体" w:cs="Times New Roman"/>
          <w:b/>
          <w:bCs/>
          <w:spacing w:val="11"/>
          <w:kern w:val="2"/>
          <w:sz w:val="36"/>
          <w:szCs w:val="36"/>
          <w:lang w:val="en-US" w:eastAsia="zh-CN" w:bidi="ar-SA"/>
        </w:rPr>
        <w:t>报 表 目 录</w:t>
      </w:r>
    </w:p>
    <w:p>
      <w:pPr>
        <w:keepNext w:val="0"/>
        <w:keepLines w:val="0"/>
        <w:widowControl w:val="0"/>
        <w:bidi w:val="0"/>
        <w:adjustRightInd w:val="0"/>
        <w:snapToGrid w:val="0"/>
        <w:spacing w:beforeLines="0" w:beforeAutospacing="0" w:afterLines="0" w:afterAutospacing="0" w:line="300" w:lineRule="auto"/>
        <w:ind w:firstLine="0" w:firstLineChars="0"/>
        <w:jc w:val="center"/>
        <w:outlineLvl w:val="3"/>
        <w:rPr>
          <w:rFonts w:ascii="Times New Roman" w:hAnsi="Times New Roman" w:eastAsia="长城小标宋体" w:cs="Times New Roman"/>
          <w:b/>
          <w:bCs/>
          <w:spacing w:val="11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45"/>
        <w:gridCol w:w="3479"/>
        <w:gridCol w:w="34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表名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0"/>
                <w:sz w:val="28"/>
                <w:szCs w:val="28"/>
              </w:rPr>
              <w:t>指标个数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表1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科普人员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表2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科普场地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32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表3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科普经费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表4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科普传媒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表5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科普活动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表6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科学教育</w:t>
            </w: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pacing w:val="0"/>
                <w:sz w:val="28"/>
                <w:szCs w:val="28"/>
              </w:rPr>
              <w:t>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pacing w:val="0"/>
                <w:sz w:val="28"/>
                <w:szCs w:val="28"/>
              </w:rPr>
              <w:t>合计</w:t>
            </w:r>
          </w:p>
        </w:tc>
        <w:tc>
          <w:tcPr>
            <w:tcW w:w="34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pacing w:val="0"/>
                <w:sz w:val="28"/>
                <w:szCs w:val="28"/>
              </w:rPr>
            </w:pPr>
          </w:p>
        </w:tc>
        <w:tc>
          <w:tcPr>
            <w:tcW w:w="3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pacing w:val="0"/>
                <w:sz w:val="28"/>
                <w:szCs w:val="28"/>
              </w:rPr>
              <w:t>139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64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pacing w:val="0"/>
        </w:rPr>
      </w:pPr>
      <w:r>
        <w:rPr>
          <w:rFonts w:hint="default" w:ascii="Times New Roman" w:hAnsi="Times New Roman" w:eastAsia="仿宋_GB2312" w:cs="Times New Roman"/>
          <w:spacing w:val="0"/>
          <w:sz w:val="32"/>
        </w:rPr>
        <w:br w:type="page"/>
      </w:r>
      <w:r>
        <w:rPr>
          <w:rFonts w:hint="eastAsia" w:ascii="Times New Roman" w:hAnsi="Times New Roman" w:eastAsia="黑体" w:cs="Times New Roman"/>
          <w:spacing w:val="6"/>
        </w:rPr>
        <w:t>调</w:t>
      </w:r>
      <w:r>
        <w:rPr>
          <w:rFonts w:ascii="Times New Roman" w:hAnsi="Times New Roman" w:eastAsia="黑体" w:cs="Times New Roman"/>
          <w:spacing w:val="6"/>
        </w:rPr>
        <w:t xml:space="preserve"> </w:t>
      </w:r>
      <w:r>
        <w:rPr>
          <w:rFonts w:hint="eastAsia" w:ascii="Times New Roman" w:hAnsi="Times New Roman" w:eastAsia="黑体" w:cs="Times New Roman"/>
          <w:spacing w:val="6"/>
        </w:rPr>
        <w:t>查</w:t>
      </w:r>
      <w:r>
        <w:rPr>
          <w:rFonts w:ascii="Times New Roman" w:hAnsi="Times New Roman" w:eastAsia="黑体" w:cs="Times New Roman"/>
          <w:spacing w:val="6"/>
        </w:rPr>
        <w:t xml:space="preserve"> </w:t>
      </w:r>
      <w:r>
        <w:rPr>
          <w:rFonts w:hint="eastAsia" w:ascii="Times New Roman" w:hAnsi="Times New Roman" w:eastAsia="黑体" w:cs="Times New Roman"/>
          <w:spacing w:val="6"/>
        </w:rPr>
        <w:t>表</w:t>
      </w:r>
      <w:r>
        <w:rPr>
          <w:rFonts w:ascii="Times New Roman" w:hAnsi="Times New Roman" w:eastAsia="黑体" w:cs="Times New Roman"/>
          <w:spacing w:val="6"/>
        </w:rPr>
        <w:t xml:space="preserve"> </w:t>
      </w:r>
      <w:r>
        <w:rPr>
          <w:rFonts w:hint="eastAsia" w:ascii="Times New Roman" w:hAnsi="Times New Roman" w:eastAsia="黑体" w:cs="Times New Roman"/>
          <w:spacing w:val="6"/>
        </w:rPr>
        <w:t>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64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2"/>
          <w:sz w:val="32"/>
          <w:szCs w:val="18"/>
          <w:lang w:val="en-US" w:eastAsia="zh-CN" w:bidi="ar-SA"/>
        </w:rPr>
      </w:pPr>
      <w:bookmarkStart w:id="0" w:name="_Toc90020004"/>
      <w:r>
        <w:rPr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  <w:t>（一）调查单位基本情况</w:t>
      </w:r>
      <w:bookmarkEnd w:id="0"/>
    </w:p>
    <w:tbl>
      <w:tblPr>
        <w:tblStyle w:val="4"/>
        <w:tblW w:w="850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"/>
        <w:gridCol w:w="495"/>
        <w:gridCol w:w="1073"/>
        <w:gridCol w:w="1365"/>
        <w:gridCol w:w="733"/>
        <w:gridCol w:w="452"/>
        <w:gridCol w:w="353"/>
        <w:gridCol w:w="247"/>
        <w:gridCol w:w="383"/>
        <w:gridCol w:w="367"/>
        <w:gridCol w:w="187"/>
        <w:gridCol w:w="124"/>
        <w:gridCol w:w="915"/>
        <w:gridCol w:w="619"/>
        <w:gridCol w:w="1155"/>
        <w:gridCol w:w="29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7" w:type="dxa"/>
          <w:wAfter w:w="29" w:type="dxa"/>
          <w:trHeight w:val="113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表    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KP-000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7" w:type="dxa"/>
          <w:wAfter w:w="29" w:type="dxa"/>
          <w:trHeight w:val="113" w:hRule="atLeast"/>
          <w:jc w:val="center"/>
        </w:trPr>
        <w:tc>
          <w:tcPr>
            <w:tcW w:w="5779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制定机关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7" w:type="dxa"/>
          <w:wAfter w:w="29" w:type="dxa"/>
          <w:trHeight w:val="90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7" w:type="dxa"/>
          <w:wAfter w:w="29" w:type="dxa"/>
          <w:trHeight w:val="90" w:hRule="atLeast"/>
          <w:jc w:val="center"/>
        </w:trPr>
        <w:tc>
          <w:tcPr>
            <w:tcW w:w="577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批准文号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 xml:space="preserve"> 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gridBefore w:val="1"/>
          <w:gridAfter w:val="1"/>
          <w:wBefore w:w="7" w:type="dxa"/>
          <w:wAfter w:w="29" w:type="dxa"/>
          <w:trHeight w:val="113" w:hRule="atLeast"/>
          <w:jc w:val="center"/>
        </w:trPr>
        <w:tc>
          <w:tcPr>
            <w:tcW w:w="36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14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15"/>
                <w:szCs w:val="15"/>
              </w:rPr>
              <w:t xml:space="preserve">２０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年</w:t>
            </w:r>
          </w:p>
        </w:tc>
        <w:tc>
          <w:tcPr>
            <w:tcW w:w="6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 xml:space="preserve">  </w:t>
            </w:r>
          </w:p>
        </w:tc>
        <w:tc>
          <w:tcPr>
            <w:tcW w:w="91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有效期至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101</w:t>
            </w:r>
          </w:p>
        </w:tc>
        <w:tc>
          <w:tcPr>
            <w:tcW w:w="46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统一社会信用代码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尚未领取统一社会信用代码的填写原组织机构代码号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□□□□□□□□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5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102</w:t>
            </w:r>
          </w:p>
        </w:tc>
        <w:tc>
          <w:tcPr>
            <w:tcW w:w="28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单位详细名称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103</w:t>
            </w:r>
          </w:p>
        </w:tc>
        <w:tc>
          <w:tcPr>
            <w:tcW w:w="36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机构主管部门类别代码（见说明）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104</w:t>
            </w:r>
          </w:p>
        </w:tc>
        <w:tc>
          <w:tcPr>
            <w:tcW w:w="37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所属国民经济行业分类门类代码（见说明）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105</w:t>
            </w:r>
          </w:p>
        </w:tc>
        <w:tc>
          <w:tcPr>
            <w:tcW w:w="800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机构属性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2"/>
                <w:sz w:val="18"/>
                <w:szCs w:val="18"/>
              </w:rPr>
              <w:t>政府部门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2"/>
                <w:sz w:val="18"/>
                <w:szCs w:val="18"/>
              </w:rPr>
              <w:t>事业单位</w:t>
            </w:r>
          </w:p>
        </w:tc>
        <w:tc>
          <w:tcPr>
            <w:tcW w:w="2535" w:type="dxa"/>
            <w:gridSpan w:val="6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2"/>
                <w:sz w:val="18"/>
                <w:szCs w:val="18"/>
              </w:rPr>
              <w:t>人民团体</w:t>
            </w:r>
          </w:p>
        </w:tc>
        <w:tc>
          <w:tcPr>
            <w:tcW w:w="1845" w:type="dxa"/>
            <w:gridSpan w:val="4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2"/>
                <w:sz w:val="18"/>
                <w:szCs w:val="18"/>
              </w:rPr>
              <w:t>企业</w:t>
            </w:r>
          </w:p>
        </w:tc>
        <w:tc>
          <w:tcPr>
            <w:tcW w:w="1184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0"/>
                <w:kern w:val="2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国家机关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科研院所</w:t>
            </w:r>
          </w:p>
        </w:tc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中央机构编制部门直接管理类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全民所有制企业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高等教育机构</w:t>
            </w:r>
          </w:p>
        </w:tc>
        <w:tc>
          <w:tcPr>
            <w:tcW w:w="2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民政部门登记类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非全民所有制企业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其他</w:t>
            </w:r>
          </w:p>
        </w:tc>
        <w:tc>
          <w:tcPr>
            <w:tcW w:w="2535" w:type="dxa"/>
            <w:gridSpan w:val="6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106</w:t>
            </w:r>
          </w:p>
        </w:tc>
        <w:tc>
          <w:tcPr>
            <w:tcW w:w="800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单位级别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中央级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    省级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     市级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     区县级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800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单位所在地及区划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省(自治区、直辖市)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地(区、市、州、盟)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县(区、市、旗)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区划代码 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□□□□□□□□□□□□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108</w:t>
            </w:r>
          </w:p>
        </w:tc>
        <w:tc>
          <w:tcPr>
            <w:tcW w:w="800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单位经费来源情况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财政全额拨款 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财政差额拨款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自收自支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109</w:t>
            </w:r>
          </w:p>
        </w:tc>
        <w:tc>
          <w:tcPr>
            <w:tcW w:w="39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法定代表人(单位负责人)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填表人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3" w:hRule="atLeast"/>
          <w:jc w:val="center"/>
        </w:trPr>
        <w:tc>
          <w:tcPr>
            <w:tcW w:w="5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  <w:t>110</w:t>
            </w:r>
          </w:p>
        </w:tc>
        <w:tc>
          <w:tcPr>
            <w:tcW w:w="39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长途区号 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固定电话 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□□□□□□□□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邮政编码 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</w:t>
            </w:r>
          </w:p>
        </w:tc>
        <w:tc>
          <w:tcPr>
            <w:tcW w:w="402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移动电话 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 xml:space="preserve">传真号码    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□□□□□□□□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□□□□□□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40" w:lineRule="auto"/>
        <w:ind w:left="160" w:leftChars="50" w:right="160" w:rightChars="5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单位负责人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统计负责人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填表人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联系电话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报出日期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２０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40" w:lineRule="auto"/>
        <w:ind w:left="160" w:leftChars="50" w:right="160" w:rightChars="5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kern w:val="2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55" w:leftChars="50" w:right="160" w:rightChars="50" w:hanging="495" w:hangingChars="2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18"/>
          <w:szCs w:val="18"/>
          <w:lang w:val="en-US" w:eastAsia="zh-CN" w:bidi="ar-SA"/>
        </w:rPr>
        <w:t>说明：</w:t>
      </w:r>
      <w:bookmarkStart w:id="1" w:name="OLE_LINK22"/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1. </w:t>
      </w:r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机构主管部门类别代码</w:t>
      </w:r>
      <w:bookmarkEnd w:id="1"/>
      <w:r>
        <w:rPr>
          <w:rFonts w:hint="eastAsia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 xml:space="preserve"> 宣传部门（含新闻出版部门）（40）、</w:t>
      </w:r>
      <w:bookmarkStart w:id="2" w:name="OLE_LINK9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发展改革部门（含粮食和储备系统（23））（25）</w:t>
      </w:r>
      <w:bookmarkEnd w:id="2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、教育部门（03）、科技管理部门（01）、工业和信息化部门（19）、民族事务部门（21）、公安部门（20）、民政部门（26）、</w:t>
      </w:r>
      <w:bookmarkStart w:id="3" w:name="OLE_LINK10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人力资源和社会保障部门（27）</w:t>
      </w:r>
      <w:bookmarkEnd w:id="3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、自然资源部门（含林业和草原系统（11））（04）、</w:t>
      </w:r>
      <w:bookmarkStart w:id="4" w:name="OLE_LINK11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生态环境部门（09）</w:t>
      </w:r>
      <w:bookmarkEnd w:id="4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</w:t>
      </w:r>
      <w:bookmarkStart w:id="5" w:name="OLE_LINK12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住房和城乡建设部门（34）</w:t>
      </w:r>
      <w:bookmarkEnd w:id="5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、交通运输部门（含民用航空系统、铁路系统、邮政系统）（33）、</w:t>
      </w:r>
      <w:bookmarkStart w:id="6" w:name="OLE_LINK13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水利部门（35）</w:t>
      </w:r>
      <w:bookmarkEnd w:id="6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、农业农村部门（05）、文化和旅游部门（06）（旅游部门（12）合并到文化部门（06））、</w:t>
      </w:r>
      <w:bookmarkStart w:id="7" w:name="OLE_LINK14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卫生健康部门（07）（计生部门（08）合并到卫生部门（07））</w:t>
      </w:r>
      <w:bookmarkEnd w:id="7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</w:t>
      </w:r>
      <w:bookmarkStart w:id="8" w:name="OLE_LINK15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应急管理部门（含地震系统（14）、矿山安全监察系统）（22）</w:t>
      </w:r>
      <w:bookmarkEnd w:id="8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、中国人民银行（36）、国有资产监督管理部门（32）、市场监督管理部门（含药品监督管理系统（29））（24）、</w:t>
      </w:r>
      <w:bookmarkStart w:id="9" w:name="OLE_LINK16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知识产权部门（37）、广电部门（10）</w:t>
      </w:r>
      <w:bookmarkEnd w:id="9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</w:t>
      </w:r>
      <w:bookmarkStart w:id="10" w:name="OLE_LINK17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体育部门（28）、</w:t>
      </w:r>
      <w:bookmarkEnd w:id="10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中科院所属部门（13）、</w:t>
      </w:r>
      <w:bookmarkStart w:id="11" w:name="OLE_LINK18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社科院所属部门（31）</w:t>
      </w:r>
      <w:bookmarkEnd w:id="11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、气象部门（15）、共青团组织（16）、</w:t>
      </w:r>
      <w:bookmarkStart w:id="12" w:name="OLE_LINK20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工会组织（18）</w:t>
      </w:r>
      <w:bookmarkEnd w:id="12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</w:t>
      </w:r>
      <w:bookmarkStart w:id="13" w:name="OLE_LINK21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妇联组织（17）</w:t>
      </w:r>
      <w:bookmarkEnd w:id="13"/>
      <w:r>
        <w:rPr>
          <w:rFonts w:hint="default" w:ascii="Times New Roman" w:hAnsi="Times New Roman" w:eastAsia="楷体_GB2312" w:cs="Times New Roman"/>
          <w:spacing w:val="-6"/>
          <w:kern w:val="2"/>
          <w:sz w:val="18"/>
          <w:szCs w:val="18"/>
          <w:lang w:val="en-US" w:eastAsia="zh-CN" w:bidi="ar-SA"/>
        </w:rPr>
        <w:t>、科协组织（02）、其他部门（30）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40" w:leftChars="200" w:right="160" w:rightChars="50" w:firstLine="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2. 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国民经济行业分类门类代码（GB/4754-2017）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A 农、林、牧、渔业；B 采矿业； C 制造业； D 电力、热力、燃气及水生产和供应业； E 建筑业； F 批发和零售业； G 交通运输、仓储和邮政业； H 住宿和餐饮业； I 信息传输、软件和信息技术服务业； J 金融业； K 房地产业； L 租赁和商务服务业； M 科学研究和技术服务业； N 水利、环境和公共设施管理业； O 居民服务、修理和其他服务业； P 教育； Q 卫生和社会工作； R 文化、体育和娱乐业； S 公共管理、社会保障和社会组织； T 国际组织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640" w:leftChars="200" w:right="160" w:rightChars="50" w:firstLine="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为减轻基层填报负担，将基本单位名录库信息维护到联网直报系统中，已获取的调查单位名录信息加载到调查系统中，企业无需重复填报，如有变更可更新相关信息。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64" w:lineRule="auto"/>
        <w:ind w:left="0" w:leftChars="0" w:right="0" w:rightChars="0" w:firstLine="0" w:firstLineChars="0"/>
        <w:jc w:val="center"/>
        <w:textAlignment w:val="auto"/>
        <w:outlineLvl w:val="1"/>
        <w:rPr>
          <w:rStyle w:val="6"/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  <w:br w:type="page"/>
      </w:r>
      <w:bookmarkStart w:id="14" w:name="_Toc90020005"/>
      <w:r>
        <w:rPr>
          <w:rStyle w:val="6"/>
          <w:rFonts w:hint="default" w:ascii="Times New Roman" w:hAnsi="Times New Roman" w:cs="Times New Roman"/>
          <w:spacing w:val="0"/>
          <w:kern w:val="2"/>
          <w:sz w:val="28"/>
          <w:szCs w:val="28"/>
          <w:lang w:val="en-US" w:eastAsia="zh-CN" w:bidi="ar-SA"/>
        </w:rPr>
        <w:t>（二）科普人员</w:t>
      </w:r>
      <w:bookmarkEnd w:id="14"/>
    </w:p>
    <w:p>
      <w:pPr>
        <w:adjustRightInd w:val="0"/>
        <w:snapToGrid w:val="0"/>
        <w:spacing w:line="336" w:lineRule="auto"/>
        <w:ind w:firstLine="616"/>
        <w:outlineLvl w:val="9"/>
        <w:rPr>
          <w:rFonts w:hint="default" w:ascii="Times New Roman" w:hAnsi="Times New Roman" w:eastAsia="仿宋_GB2312" w:cs="Times New Roman"/>
          <w:spacing w:val="0"/>
        </w:rPr>
      </w:pPr>
    </w:p>
    <w:tbl>
      <w:tblPr>
        <w:tblStyle w:val="4"/>
        <w:tblW w:w="8504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689"/>
        <w:gridCol w:w="1258"/>
        <w:gridCol w:w="984"/>
        <w:gridCol w:w="201"/>
        <w:gridCol w:w="633"/>
        <w:gridCol w:w="552"/>
        <w:gridCol w:w="1187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83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表    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3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KP-001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593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83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制定机关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统一社会信用代码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□□□□□□□□□□□□□□□□□□</w:t>
            </w:r>
          </w:p>
        </w:tc>
        <w:tc>
          <w:tcPr>
            <w:tcW w:w="83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批准机关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59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尚未领取统一社会信用代码的填写原组织机构代码号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□□□□□□□□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□</w:t>
            </w:r>
          </w:p>
        </w:tc>
        <w:tc>
          <w:tcPr>
            <w:tcW w:w="83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批准文号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 xml:space="preserve"> 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27" w:hRule="atLeast"/>
          <w:jc w:val="center"/>
        </w:trPr>
        <w:tc>
          <w:tcPr>
            <w:tcW w:w="368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单位详细名称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25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15"/>
                <w:szCs w:val="15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年</w:t>
            </w:r>
          </w:p>
        </w:tc>
        <w:tc>
          <w:tcPr>
            <w:tcW w:w="984" w:type="dxa"/>
            <w:tcBorders>
              <w:bottom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有效期至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39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代码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甲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乙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丙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一、科普专职人员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KR100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中级职称及以上或本科及以上学历人员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KR110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0" w:leftChars="2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女性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KR120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0" w:leftChars="2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农村科普人员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KR130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0" w:leftChars="2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管理人员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KR140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0" w:leftChars="2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科普创作（研发）人员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KR150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0" w:leftChars="2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科普讲解（辅导）人员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KR160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二、科普兼职人员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KR200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中级职称及以上或本科及以上学历人员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KR210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0" w:leftChars="2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女性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KR220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0" w:leftChars="2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农村科普人员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KR230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800" w:leftChars="2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科普讲解（辅导）人员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KR240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当年实际投入工作量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人天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KR250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49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color w:val="auto"/>
                <w:spacing w:val="0"/>
                <w:kern w:val="2"/>
                <w:sz w:val="18"/>
                <w:szCs w:val="18"/>
              </w:rPr>
              <w:t>三、注册科普（技）志愿者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  <w:t>KR300</w:t>
            </w:r>
          </w:p>
        </w:tc>
        <w:tc>
          <w:tcPr>
            <w:tcW w:w="118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pacing w:val="0"/>
                <w:kern w:val="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40" w:lineRule="auto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单位负责人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统计负责人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填表人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联系电话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报出日期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40" w:lineRule="auto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320" w:leftChars="100" w:right="320" w:rightChars="100" w:firstLine="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18"/>
          <w:szCs w:val="18"/>
          <w:lang w:val="en-US" w:eastAsia="zh-CN" w:bidi="ar-SA"/>
        </w:rPr>
        <w:t>说明：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主要平衡关系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864" w:leftChars="270" w:right="320" w:rightChars="100" w:firstLine="0" w:firstLineChars="0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KR110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KR100，KR120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KR100，KR130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KR100，KR140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KR100，KR150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KR100，KR160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KR100。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864" w:leftChars="270" w:right="320" w:rightChars="100" w:firstLine="0" w:firstLineChars="0"/>
        <w:jc w:val="both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KR210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KR200，KR220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KR200，KR230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KR200，KR240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≤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KR200。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  <w:br w:type="page"/>
      </w:r>
      <w:bookmarkStart w:id="15" w:name="_Toc90020006"/>
      <w:r>
        <w:rPr>
          <w:rStyle w:val="6"/>
          <w:rFonts w:hint="default" w:ascii="Times New Roman" w:hAnsi="Times New Roman" w:cs="Times New Roman"/>
          <w:spacing w:val="0"/>
          <w:kern w:val="2"/>
          <w:sz w:val="28"/>
          <w:szCs w:val="28"/>
          <w:lang w:val="en-US" w:eastAsia="zh-CN" w:bidi="ar-SA"/>
        </w:rPr>
        <w:t>（三）科普场地</w:t>
      </w:r>
      <w:bookmarkEnd w:id="15"/>
    </w:p>
    <w:tbl>
      <w:tblPr>
        <w:tblStyle w:val="4"/>
        <w:tblW w:w="8504" w:type="dxa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0"/>
        <w:gridCol w:w="4334"/>
        <w:gridCol w:w="594"/>
        <w:gridCol w:w="395"/>
        <w:gridCol w:w="537"/>
        <w:gridCol w:w="248"/>
        <w:gridCol w:w="709"/>
        <w:gridCol w:w="471"/>
        <w:gridCol w:w="1182"/>
        <w:gridCol w:w="24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0" w:type="dxa"/>
          <w:trHeight w:val="57" w:hRule="atLeast"/>
          <w:jc w:val="center"/>
        </w:trPr>
        <w:tc>
          <w:tcPr>
            <w:tcW w:w="58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表    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6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KP-002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0" w:type="dxa"/>
          <w:trHeight w:val="57" w:hRule="atLeast"/>
          <w:jc w:val="center"/>
        </w:trPr>
        <w:tc>
          <w:tcPr>
            <w:tcW w:w="58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制定机关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0" w:type="dxa"/>
          <w:trHeight w:val="57" w:hRule="atLeast"/>
          <w:jc w:val="center"/>
        </w:trPr>
        <w:tc>
          <w:tcPr>
            <w:tcW w:w="58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统一社会信用代码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□□□□□□□□□□□□□□□□□</w:t>
            </w:r>
            <w:r>
              <w:rPr>
                <w:rFonts w:hint="eastAsia" w:ascii="宋体" w:hAnsi="宋体" w:eastAsia="宋体" w:cs="宋体"/>
                <w:spacing w:val="0"/>
                <w:kern w:val="2"/>
                <w:sz w:val="15"/>
                <w:szCs w:val="15"/>
                <w:lang w:eastAsia="zh-CN"/>
              </w:rPr>
              <w:t>□</w:t>
            </w:r>
          </w:p>
        </w:tc>
        <w:tc>
          <w:tcPr>
            <w:tcW w:w="9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0" w:type="dxa"/>
          <w:trHeight w:val="57" w:hRule="atLeast"/>
          <w:jc w:val="center"/>
        </w:trPr>
        <w:tc>
          <w:tcPr>
            <w:tcW w:w="58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尚未领取统一社会信用代码的填写原组织机构代码号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□□□□□□□□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□</w:t>
            </w:r>
          </w:p>
        </w:tc>
        <w:tc>
          <w:tcPr>
            <w:tcW w:w="9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批准文号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 xml:space="preserve"> 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0" w:type="dxa"/>
          <w:trHeight w:val="57" w:hRule="atLeast"/>
          <w:jc w:val="center"/>
        </w:trPr>
        <w:tc>
          <w:tcPr>
            <w:tcW w:w="4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单位详细名称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15"/>
                <w:szCs w:val="15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年</w:t>
            </w:r>
          </w:p>
        </w:tc>
        <w:tc>
          <w:tcPr>
            <w:tcW w:w="53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5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有效期至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代码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甲</w:t>
            </w: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乙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丙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一、科普场馆</w:t>
            </w: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1.科技馆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KC110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KC111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KC112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当年参观人次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KC113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件套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KC114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门票收入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KC116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2.科学技术类博物馆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KC120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KC121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KC122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当年参观人次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KC123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件套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KC124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门票收入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KC126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3.青少年科技馆站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KC130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建筑面积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KC131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展厅面积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KC132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当年参观人次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KC133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常设展品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件套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KC134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二、非场馆类科普场地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90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1.个数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KC210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2.科普展厅面积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平方米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KC220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3.当年参观人次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KC230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三、公共场所科普宣传设施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1.城市社区科普（技）活动场所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KC310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当年服务人次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KC311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2.农村科普（技）活动场所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KC320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当年服务人次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KC321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3.流动科普宣传设施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科普宣传专用车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辆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KC330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当年服务人次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KC331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流动科技馆站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KC332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当年服务人次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KC333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4.科普宣传专栏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KC340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当年内容更新次数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KC341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四、科普基地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90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1.国家级科普基地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KC410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92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4" w:type="dxa"/>
          <w:trHeight w:val="57" w:hRule="atLeast"/>
          <w:jc w:val="center"/>
        </w:trPr>
        <w:tc>
          <w:tcPr>
            <w:tcW w:w="4938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192" w:lineRule="auto"/>
              <w:ind w:left="815" w:leftChars="100" w:right="160" w:rightChars="50" w:hanging="495" w:hangingChars="275"/>
              <w:jc w:val="both"/>
              <w:textAlignment w:val="auto"/>
              <w:outlineLvl w:val="1"/>
              <w:rPr>
                <w:rFonts w:hint="default" w:ascii="Times New Roman" w:hAnsi="Times New Roman" w:eastAsia="楷体_GB2312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  <w:t>2.省级科普基地</w:t>
            </w:r>
          </w:p>
        </w:tc>
        <w:tc>
          <w:tcPr>
            <w:tcW w:w="118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楷体_GB2312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  <w:t>个</w:t>
            </w:r>
          </w:p>
        </w:tc>
        <w:tc>
          <w:tcPr>
            <w:tcW w:w="11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楷体_GB2312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  <w:t>KC420</w:t>
            </w:r>
          </w:p>
        </w:tc>
        <w:tc>
          <w:tcPr>
            <w:tcW w:w="1182" w:type="dxa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192" w:lineRule="auto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default" w:ascii="Times New Roman" w:hAnsi="Times New Roman" w:eastAsia="楷体_GB2312" w:cs="Times New Roman"/>
                <w:spacing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16" w:lineRule="auto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单位负责人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统计负责人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填表人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  联系电话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报出日期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192" w:lineRule="auto"/>
        <w:ind w:left="435" w:leftChars="50" w:right="160" w:rightChars="50" w:hanging="275" w:hangingChars="275"/>
        <w:jc w:val="both"/>
        <w:textAlignment w:val="auto"/>
        <w:outlineLvl w:val="1"/>
        <w:rPr>
          <w:rFonts w:hint="eastAsia" w:ascii="黑体" w:hAnsi="黑体" w:eastAsia="黑体" w:cs="黑体"/>
          <w:spacing w:val="0"/>
          <w:kern w:val="2"/>
          <w:sz w:val="10"/>
          <w:szCs w:val="1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815" w:leftChars="100" w:right="320" w:rightChars="100" w:hanging="495" w:hangingChars="2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18"/>
          <w:szCs w:val="18"/>
          <w:lang w:val="en-US" w:eastAsia="zh-CN" w:bidi="ar-SA"/>
        </w:rPr>
        <w:t>说明：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1. 主要平衡关系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KC112＜KC111；KC122＜KC121；KC132＜KC131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1089" w:leftChars="270" w:right="320" w:rightChars="100" w:hanging="225" w:hangingChars="12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2. 科普场馆必须是以上列举的三类。青少年科技馆站必须专门用于开展面向青少年的科普宣传教育。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1089" w:leftChars="270" w:right="320" w:rightChars="100" w:hanging="225" w:hangingChars="12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3. 建筑面积（KC111、KC121、KC131）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建筑面积在500平米以下的，出租用于他用（商业经营等）或已丧失科普功能的，均不在此项统计范围内。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1089" w:leftChars="270" w:right="320" w:rightChars="100" w:hanging="225" w:hangingChars="12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4. 展厅面积（KC112、KC122、KC132）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指用于各类展览的实际使用面积，不含公共设施、办公室和用于其他用途的使用面积。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1089" w:leftChars="270" w:right="320" w:rightChars="100" w:hanging="225" w:hangingChars="12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5. 当年参观人次（KC113、KC123、KC133）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如果有参观票据，以票根上的年度内数字为准。如果没有参观票据，则以馆内统计的人数为准。馆内没有过任何统计，则填报零。不可随意填报。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1089" w:leftChars="270" w:right="320" w:rightChars="100" w:hanging="225" w:hangingChars="12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6. 场馆数量不能出现大于1的情况，每个场馆要单独填报。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1089" w:leftChars="270" w:right="320" w:rightChars="100" w:hanging="225" w:hangingChars="12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7. 场馆常设展品的件套数，以完整呈现一个展出物品为一件套。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0" w:leftChars="0" w:right="0" w:rightChars="0" w:firstLine="0" w:firstLineChars="0"/>
        <w:jc w:val="center"/>
        <w:textAlignment w:val="auto"/>
        <w:outlineLvl w:val="1"/>
        <w:rPr>
          <w:rStyle w:val="6"/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  <w:br w:type="page"/>
      </w:r>
      <w:bookmarkStart w:id="16" w:name="_Toc90020007"/>
      <w:r>
        <w:rPr>
          <w:rStyle w:val="6"/>
          <w:rFonts w:hint="default" w:ascii="Times New Roman" w:hAnsi="Times New Roman" w:cs="Times New Roman"/>
          <w:spacing w:val="0"/>
          <w:kern w:val="2"/>
          <w:sz w:val="28"/>
          <w:szCs w:val="28"/>
          <w:lang w:val="en-US" w:eastAsia="zh-CN" w:bidi="ar-SA"/>
        </w:rPr>
        <w:t>（四）科普经费</w:t>
      </w:r>
      <w:bookmarkEnd w:id="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</w:p>
    <w:tbl>
      <w:tblPr>
        <w:tblStyle w:val="4"/>
        <w:tblW w:w="8504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0"/>
        <w:gridCol w:w="1845"/>
        <w:gridCol w:w="2898"/>
        <w:gridCol w:w="997"/>
        <w:gridCol w:w="168"/>
        <w:gridCol w:w="706"/>
        <w:gridCol w:w="459"/>
        <w:gridCol w:w="1167"/>
        <w:gridCol w:w="144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120" w:type="dxa"/>
          <w:trHeight w:val="283" w:hRule="atLeast"/>
          <w:jc w:val="center"/>
        </w:trPr>
        <w:tc>
          <w:tcPr>
            <w:tcW w:w="5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8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表    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KP-003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120" w:type="dxa"/>
          <w:trHeight w:val="283" w:hRule="atLeast"/>
          <w:jc w:val="center"/>
        </w:trPr>
        <w:tc>
          <w:tcPr>
            <w:tcW w:w="57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8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制定机关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120" w:type="dxa"/>
          <w:trHeight w:val="283" w:hRule="atLeast"/>
          <w:jc w:val="center"/>
        </w:trPr>
        <w:tc>
          <w:tcPr>
            <w:tcW w:w="5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统一社会信用代码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□□□□□□□□□□□□□□□□□□</w:t>
            </w:r>
          </w:p>
        </w:tc>
        <w:tc>
          <w:tcPr>
            <w:tcW w:w="8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120" w:type="dxa"/>
          <w:trHeight w:val="283" w:hRule="atLeast"/>
          <w:jc w:val="center"/>
        </w:trPr>
        <w:tc>
          <w:tcPr>
            <w:tcW w:w="57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尚未领取统一社会信用代码的填写原组织机构代码号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□□□□□□□□□</w:t>
            </w:r>
          </w:p>
        </w:tc>
        <w:tc>
          <w:tcPr>
            <w:tcW w:w="8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批准文号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 xml:space="preserve"> 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Before w:val="1"/>
          <w:wBefore w:w="120" w:type="dxa"/>
          <w:trHeight w:val="28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单位详细名称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38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15"/>
                <w:szCs w:val="15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年</w:t>
            </w:r>
          </w:p>
        </w:tc>
        <w:tc>
          <w:tcPr>
            <w:tcW w:w="8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有效期至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代码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甲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乙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丙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一、当年科普经费筹集额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KJ100</w:t>
            </w:r>
          </w:p>
        </w:tc>
        <w:tc>
          <w:tcPr>
            <w:tcW w:w="1167" w:type="dxa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1.政府拨款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KJ110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科普专项经费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KJ111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2.捐赠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KJ120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3.自筹资金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KJ130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二、当年科普经费使用额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KJ200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1.行政支出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KJ210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2.科普活动支出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KJ220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科技活动周经费支出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KJ221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3.科普场馆基建支出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KJ230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政府拨款支出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KJ231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4.科普展品、设施支出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KJ233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144" w:type="dxa"/>
          <w:trHeight w:val="397" w:hRule="atLeast"/>
          <w:jc w:val="center"/>
        </w:trPr>
        <w:tc>
          <w:tcPr>
            <w:tcW w:w="4863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5.其他支出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万元</w:t>
            </w:r>
          </w:p>
        </w:tc>
        <w:tc>
          <w:tcPr>
            <w:tcW w:w="11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KJ240</w:t>
            </w:r>
          </w:p>
        </w:tc>
        <w:tc>
          <w:tcPr>
            <w:tcW w:w="1167" w:type="dxa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16" w:lineRule="auto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单位负责人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统计负责人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填表人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 联系电话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报出日期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815" w:leftChars="100" w:right="320" w:rightChars="100" w:hanging="495" w:hangingChars="275"/>
        <w:jc w:val="both"/>
        <w:textAlignment w:val="auto"/>
        <w:outlineLvl w:val="1"/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18"/>
          <w:szCs w:val="18"/>
          <w:lang w:val="en-US" w:eastAsia="zh-CN" w:bidi="ar-SA"/>
        </w:rPr>
        <w:t>说明：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1. 主要平衡关系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815" w:leftChars="100" w:right="320" w:rightChars="100" w:hanging="495" w:hangingChars="2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     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  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KJ100＝KJ110＋KJ120＋KJ130；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815" w:leftChars="100" w:right="320" w:rightChars="100" w:hanging="495" w:hangingChars="2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        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KJ200＝KJ210＋KJ220＋KJ230＋KJ233＋KJ240；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815" w:leftChars="100" w:right="320" w:rightChars="100" w:hanging="495" w:hangingChars="2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        KJ110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≥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KJ111；KJ220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≥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KJ221；KJ230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≥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KJ231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815" w:leftChars="100" w:right="320" w:rightChars="100" w:hanging="495" w:hangingChars="275"/>
        <w:jc w:val="both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 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 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 2. 经费部分，所有单位均为万元。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  <w:br w:type="page"/>
      </w:r>
      <w:bookmarkStart w:id="17" w:name="_Toc90020008"/>
      <w:r>
        <w:rPr>
          <w:rStyle w:val="6"/>
          <w:rFonts w:hint="default" w:ascii="Times New Roman" w:hAnsi="Times New Roman" w:cs="Times New Roman"/>
          <w:spacing w:val="0"/>
          <w:kern w:val="2"/>
          <w:sz w:val="28"/>
          <w:szCs w:val="28"/>
          <w:lang w:val="en-US" w:eastAsia="zh-CN" w:bidi="ar-SA"/>
        </w:rPr>
        <w:t>（五）科普传媒</w:t>
      </w:r>
      <w:bookmarkEnd w:id="17"/>
    </w:p>
    <w:tbl>
      <w:tblPr>
        <w:tblStyle w:val="4"/>
        <w:tblW w:w="86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3848"/>
        <w:gridCol w:w="1102"/>
        <w:gridCol w:w="1050"/>
        <w:gridCol w:w="168"/>
        <w:gridCol w:w="755"/>
        <w:gridCol w:w="463"/>
        <w:gridCol w:w="1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4" w:hRule="atLeast"/>
          <w:jc w:val="center"/>
        </w:trPr>
        <w:tc>
          <w:tcPr>
            <w:tcW w:w="60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表    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68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KP-004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49" w:hRule="atLeast"/>
          <w:jc w:val="center"/>
        </w:trPr>
        <w:tc>
          <w:tcPr>
            <w:tcW w:w="600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制定机关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4" w:hRule="atLeast"/>
          <w:jc w:val="center"/>
        </w:trPr>
        <w:tc>
          <w:tcPr>
            <w:tcW w:w="6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统一社会信用代码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□□□□□□□□□□□□□□□□□□</w:t>
            </w:r>
          </w:p>
        </w:tc>
        <w:tc>
          <w:tcPr>
            <w:tcW w:w="9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90" w:hRule="atLeast"/>
          <w:jc w:val="center"/>
        </w:trPr>
        <w:tc>
          <w:tcPr>
            <w:tcW w:w="6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尚未领取统一社会信用代码的填写原组织机构代码号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□□□□□□□□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</w:t>
            </w:r>
          </w:p>
        </w:tc>
        <w:tc>
          <w:tcPr>
            <w:tcW w:w="9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批准文号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 xml:space="preserve"> 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79" w:hRule="atLeast"/>
          <w:jc w:val="center"/>
        </w:trPr>
        <w:tc>
          <w:tcPr>
            <w:tcW w:w="3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单位详细名称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15"/>
                <w:szCs w:val="15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年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92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有效期至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代码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甲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乙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丙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一、科普图书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21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1.当年出版种数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种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KM110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2.当年出版总册数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册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KM120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二、科普期刊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1.当年出版种数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种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KM210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2.当年出版总册数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册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KM220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三、科技类报纸当年发行总份数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份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KM400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四、科普电影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 当年放映片源数量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部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KM040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国产数量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部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KM0401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040" w:leftChars="325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进口数量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部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KM0402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 当年观众数量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KM041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五、电视台当年播出科普（技）节目时长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小时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KM500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六、电台当年播出科普（技）节目时长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小时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KM600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七、科普网站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1.建设数量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KM700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2.当年访问数量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KM710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3.当年发文数量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篇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KM720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八、当年发放科普读物和资料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份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KM800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九、科普类微博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1.建设数量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KM010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2.当年发文数量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篇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KM011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3.当年阅读数量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KM012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4.粉丝数量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KM013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十、科普类微信公众号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1.建设数量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KM020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2.当年发文数量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篇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KM021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3.当年阅读数量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KM022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4.关注数量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KM023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十一、网络科普视频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1.当年发布数量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KM030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2.当年发布时长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小时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KM031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4962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3.当年播放数量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21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KM032</w:t>
            </w:r>
          </w:p>
        </w:tc>
        <w:tc>
          <w:tcPr>
            <w:tcW w:w="1220" w:type="dxa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16" w:lineRule="auto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单位负责人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统计负责人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填表人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 联系电话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报出日期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435" w:leftChars="50" w:right="160" w:rightChars="50" w:hanging="275" w:hangingChars="275"/>
        <w:jc w:val="both"/>
        <w:textAlignment w:val="auto"/>
        <w:outlineLvl w:val="1"/>
        <w:rPr>
          <w:rFonts w:hint="eastAsia" w:ascii="黑体" w:hAnsi="黑体" w:eastAsia="黑体" w:cs="黑体"/>
          <w:spacing w:val="0"/>
          <w:kern w:val="2"/>
          <w:sz w:val="10"/>
          <w:szCs w:val="1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20" w:lineRule="exact"/>
        <w:ind w:left="815" w:leftChars="100" w:right="320" w:rightChars="100" w:hanging="495" w:hangingChars="2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18"/>
          <w:szCs w:val="18"/>
          <w:lang w:val="en-US" w:eastAsia="zh-CN" w:bidi="ar-SA"/>
        </w:rPr>
        <w:t>说明</w:t>
      </w:r>
      <w:bookmarkStart w:id="18" w:name="OLE_LINK1"/>
      <w:r>
        <w:rPr>
          <w:rFonts w:hint="eastAsia" w:ascii="黑体" w:hAnsi="黑体" w:eastAsia="黑体" w:cs="黑体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1.主要平衡关系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KM040= KM0401+ KM0402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20" w:lineRule="exact"/>
        <w:ind w:left="893" w:leftChars="265" w:right="160" w:rightChars="50" w:hanging="45" w:hangingChars="2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2.科普传媒是指各填报单位产出的科普作品，而不是填报单位订阅的资料。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20" w:lineRule="exact"/>
        <w:ind w:left="983" w:leftChars="265" w:right="160" w:rightChars="50" w:hanging="135" w:hangingChars="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3.科普图书需要取得ISBN编号，科普期刊和科技类报纸需要取得国内统一连续出版物号，科普电影需要取得电影片公映许可证。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20" w:lineRule="exact"/>
        <w:ind w:left="893" w:leftChars="265" w:right="160" w:rightChars="50" w:hanging="45" w:hangingChars="25"/>
        <w:jc w:val="both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4.KM500和KM600由广播电视部门和宣传部门填报。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  <w:br w:type="page"/>
      </w:r>
      <w:bookmarkStart w:id="19" w:name="_Toc90020009"/>
      <w:r>
        <w:rPr>
          <w:rStyle w:val="6"/>
          <w:rFonts w:hint="default" w:ascii="Times New Roman" w:hAnsi="Times New Roman" w:cs="Times New Roman"/>
          <w:spacing w:val="0"/>
          <w:kern w:val="2"/>
          <w:sz w:val="28"/>
          <w:szCs w:val="28"/>
          <w:lang w:val="en-US" w:eastAsia="zh-CN" w:bidi="ar-SA"/>
        </w:rPr>
        <w:t>（六）科普活动</w:t>
      </w:r>
      <w:bookmarkEnd w:id="19"/>
    </w:p>
    <w:tbl>
      <w:tblPr>
        <w:tblStyle w:val="4"/>
        <w:tblW w:w="8504" w:type="dxa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6"/>
        <w:gridCol w:w="3939"/>
        <w:gridCol w:w="989"/>
        <w:gridCol w:w="19"/>
        <w:gridCol w:w="988"/>
        <w:gridCol w:w="172"/>
        <w:gridCol w:w="604"/>
        <w:gridCol w:w="575"/>
        <w:gridCol w:w="1180"/>
        <w:gridCol w:w="22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59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7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表    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KP-005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593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7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制定机关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59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bookmarkStart w:id="20" w:name="OLE_LINK6"/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统一社会信用代码</w:t>
            </w:r>
            <w:bookmarkEnd w:id="20"/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□□□□□□□□□□□□□□□□□□</w:t>
            </w:r>
          </w:p>
        </w:tc>
        <w:tc>
          <w:tcPr>
            <w:tcW w:w="7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59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bookmarkStart w:id="21" w:name="OLE_LINK7"/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尚未领取统一社会信用代码的填写原组织机构代码号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□□□□□□□□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－</w:t>
            </w:r>
            <w:bookmarkEnd w:id="21"/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</w:t>
            </w:r>
          </w:p>
        </w:tc>
        <w:tc>
          <w:tcPr>
            <w:tcW w:w="7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批准文号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 xml:space="preserve"> 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13" w:hRule="atLeast"/>
          <w:jc w:val="center"/>
        </w:trPr>
        <w:tc>
          <w:tcPr>
            <w:tcW w:w="3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单位详细名称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15"/>
                <w:szCs w:val="15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年</w:t>
            </w:r>
          </w:p>
        </w:tc>
        <w:tc>
          <w:tcPr>
            <w:tcW w:w="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7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有效期至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代码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甲</w:t>
            </w:r>
          </w:p>
        </w:tc>
        <w:tc>
          <w:tcPr>
            <w:tcW w:w="11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乙</w:t>
            </w:r>
          </w:p>
        </w:tc>
        <w:tc>
          <w:tcPr>
            <w:tcW w:w="11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丙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一、科普（技）讲座</w:t>
            </w:r>
          </w:p>
        </w:tc>
        <w:tc>
          <w:tcPr>
            <w:tcW w:w="1179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1.当年线下举办次数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KH110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当年线下参加人次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KH120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2.当年线上举办次数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KH130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当年线上参加人次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KH140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二、科普（技）展览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1.当年专题展览线下举办次数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KH210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当年线下参加人次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KH220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2.当年专题展览线上举办次数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KH230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当年线上参加人次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KH240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三、科普（技）竞赛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1.当年线下举办次数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KH310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当年线下参加人次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KH320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2.当年线上举办次数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KH330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当年线上参加人次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KH340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四、科普国际交流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1.当年线下举办次数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KH410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当年线下参加人次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KH420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2.当年线上举办次数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KH430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当年线上参加人次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KH440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五、青少年科普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1.青少年科技兴趣小组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当年成立个数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KH511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KH512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2.科技夏（冬）令营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KH521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KH522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3.青少年主题科普活动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KH531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KH532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六、老年人科普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1.当年科普主题活动举办次数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KH010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KH020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七、科技活动周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1.科普专题活动线下举办次数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KH610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线下参加人次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KH620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2.科普专题活动线上举办次数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KH630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480" w:leftChars="15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线上参加人次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KH640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八、大学、科研机构向社会开放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1.当年开放单位个数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KH710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2.当年参观人次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KH720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九、当年举办实用技术培训次数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KH810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当年参加人次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KH820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十、当年重大科普活动次数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次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KH900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contextualSpacing/>
              <w:jc w:val="left"/>
              <w:textAlignment w:val="auto"/>
              <w:outlineLvl w:val="9"/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十一、科普研发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当年获批市级及以上科普项目数量</w:t>
            </w:r>
          </w:p>
        </w:tc>
        <w:tc>
          <w:tcPr>
            <w:tcW w:w="1179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项</w:t>
            </w:r>
          </w:p>
        </w:tc>
        <w:tc>
          <w:tcPr>
            <w:tcW w:w="1179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KH030</w:t>
            </w:r>
          </w:p>
        </w:tc>
        <w:tc>
          <w:tcPr>
            <w:tcW w:w="118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22" w:type="dxa"/>
          <w:trHeight w:val="113" w:hRule="atLeast"/>
          <w:jc w:val="center"/>
        </w:trPr>
        <w:tc>
          <w:tcPr>
            <w:tcW w:w="4944" w:type="dxa"/>
            <w:gridSpan w:val="3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当年获批省、部级及以上科普项目数量</w:t>
            </w:r>
          </w:p>
        </w:tc>
        <w:tc>
          <w:tcPr>
            <w:tcW w:w="1179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项</w:t>
            </w:r>
          </w:p>
        </w:tc>
        <w:tc>
          <w:tcPr>
            <w:tcW w:w="117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KH0301</w:t>
            </w:r>
          </w:p>
        </w:tc>
        <w:tc>
          <w:tcPr>
            <w:tcW w:w="118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216" w:lineRule="auto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单位负责人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统计负责人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填表人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 联系电话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报出日期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815" w:leftChars="100" w:right="320" w:rightChars="100" w:hanging="495" w:hangingChars="2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18"/>
          <w:szCs w:val="18"/>
          <w:lang w:val="en-US" w:eastAsia="zh-CN" w:bidi="ar-SA"/>
        </w:rPr>
        <w:t>说明：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1. 主要平衡关系</w:t>
      </w:r>
      <w:bookmarkStart w:id="22" w:name="OLE_LINK2"/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KH030</w:t>
      </w:r>
      <w:bookmarkEnd w:id="22"/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≥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KH0301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999" w:leftChars="270" w:right="320" w:rightChars="100" w:hanging="135" w:hangingChars="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2. 填报单位组织的科普活动，参加的活动不在统计范围内。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16" w:lineRule="auto"/>
        <w:ind w:left="1089" w:leftChars="270" w:right="320" w:rightChars="100" w:hanging="225" w:hangingChars="125"/>
        <w:jc w:val="both"/>
        <w:textAlignment w:val="auto"/>
        <w:outlineLvl w:val="1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3. 多主办单位的活动由第一主办单位填报。如果第一填报单位不在调查统计范围内的，可以由第二主办单位填报，以此类推。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1"/>
        <w:rPr>
          <w:rStyle w:val="6"/>
          <w:rFonts w:hint="default" w:ascii="Times New Roman" w:hAnsi="Times New Roman" w:eastAsia="楷体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  <w:lang w:val="en-US" w:eastAsia="zh-CN" w:bidi="ar-SA"/>
        </w:rPr>
        <w:br w:type="page"/>
      </w:r>
      <w:bookmarkStart w:id="23" w:name="_Toc90020010"/>
      <w:r>
        <w:rPr>
          <w:rStyle w:val="6"/>
          <w:rFonts w:hint="default" w:ascii="Times New Roman" w:hAnsi="Times New Roman" w:cs="Times New Roman"/>
          <w:spacing w:val="0"/>
          <w:kern w:val="2"/>
          <w:sz w:val="28"/>
          <w:szCs w:val="28"/>
          <w:lang w:val="en-US" w:eastAsia="zh-CN" w:bidi="ar-SA"/>
        </w:rPr>
        <w:t>（七）科学教育</w:t>
      </w:r>
      <w:bookmarkEnd w:id="23"/>
    </w:p>
    <w:p>
      <w:pPr>
        <w:adjustRightInd w:val="0"/>
        <w:snapToGrid w:val="0"/>
        <w:spacing w:line="336" w:lineRule="auto"/>
        <w:ind w:firstLine="616"/>
        <w:outlineLvl w:val="9"/>
        <w:rPr>
          <w:rFonts w:hint="default" w:ascii="Times New Roman" w:hAnsi="Times New Roman" w:eastAsia="仿宋_GB2312" w:cs="Times New Roman"/>
          <w:spacing w:val="0"/>
          <w:sz w:val="10"/>
          <w:szCs w:val="10"/>
        </w:rPr>
      </w:pPr>
    </w:p>
    <w:tbl>
      <w:tblPr>
        <w:tblStyle w:val="4"/>
        <w:tblW w:w="8504" w:type="dxa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6"/>
        <w:gridCol w:w="4110"/>
        <w:gridCol w:w="808"/>
        <w:gridCol w:w="258"/>
        <w:gridCol w:w="779"/>
        <w:gridCol w:w="140"/>
        <w:gridCol w:w="639"/>
        <w:gridCol w:w="538"/>
        <w:gridCol w:w="1177"/>
        <w:gridCol w:w="39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70" w:hRule="atLeast"/>
          <w:jc w:val="center"/>
        </w:trPr>
        <w:tc>
          <w:tcPr>
            <w:tcW w:w="59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7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表    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KP-006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70" w:hRule="atLeast"/>
          <w:jc w:val="center"/>
        </w:trPr>
        <w:tc>
          <w:tcPr>
            <w:tcW w:w="595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7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制定机关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科学技术部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70" w:hRule="atLeast"/>
          <w:jc w:val="center"/>
        </w:trPr>
        <w:tc>
          <w:tcPr>
            <w:tcW w:w="59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统一社会信用代码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□□□□□□□□□□□□□□□□□□</w:t>
            </w:r>
          </w:p>
        </w:tc>
        <w:tc>
          <w:tcPr>
            <w:tcW w:w="7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批准机关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国家统计局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70" w:hRule="atLeast"/>
          <w:jc w:val="center"/>
        </w:trPr>
        <w:tc>
          <w:tcPr>
            <w:tcW w:w="595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尚未领取统一社会信用代码的填写原组织机构代码号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□□□□□□□□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kern w:val="2"/>
                <w:sz w:val="15"/>
                <w:szCs w:val="15"/>
                <w:lang w:eastAsia="zh-CN"/>
              </w:rPr>
              <w:t>□</w:t>
            </w:r>
          </w:p>
        </w:tc>
        <w:tc>
          <w:tcPr>
            <w:tcW w:w="7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批准文号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 xml:space="preserve"> 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国统制〔2022〕11号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Before w:val="1"/>
          <w:wBefore w:w="16" w:type="dxa"/>
          <w:trHeight w:val="170" w:hRule="atLeast"/>
          <w:jc w:val="center"/>
        </w:trPr>
        <w:tc>
          <w:tcPr>
            <w:tcW w:w="4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单位详细名称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２０</w:t>
            </w:r>
            <w:r>
              <w:rPr>
                <w:rFonts w:hint="default" w:ascii="Times New Roman" w:hAnsi="Times New Roman" w:eastAsia="仿宋_GB2312" w:cs="Times New Roman"/>
                <w:bCs/>
                <w:spacing w:val="0"/>
                <w:kern w:val="2"/>
                <w:sz w:val="15"/>
                <w:szCs w:val="15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年</w:t>
            </w:r>
          </w:p>
        </w:tc>
        <w:tc>
          <w:tcPr>
            <w:tcW w:w="7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</w:p>
        </w:tc>
        <w:tc>
          <w:tcPr>
            <w:tcW w:w="7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有效期至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5"/>
                <w:szCs w:val="15"/>
                <w:lang w:eastAsia="zh-CN"/>
              </w:rPr>
              <w:t>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5"/>
                <w:szCs w:val="15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指标名称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计量单位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代码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甲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乙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丙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contextualSpacing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0"/>
                <w:kern w:val="2"/>
                <w:sz w:val="18"/>
                <w:szCs w:val="18"/>
              </w:rPr>
              <w:t>一、师资队伍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1.义务教育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本校全职科学教师数量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KX111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本校兼职科学教师数量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KX112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当年科学教育外聘专家数量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KX113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2.高中阶段教育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本校全职科学教育教师数量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KX121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本校兼职科学教育教师数量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KX122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当年科学教育外聘专家数量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KX123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3.高等教育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本校全职科学教育教师数量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KX131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本校兼职科学教育教师数量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KX132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当年科学教育外聘专家数量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KX133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二、教学情况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1.义务教育阶段科学教育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当年课程课时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节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KX211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640" w:leftChars="2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当年校外课时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节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KX2111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20" w:leftChars="3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当年学生数量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KX212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2.高中阶段科学教育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当年课程课时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节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KX221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640" w:leftChars="2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spacing w:val="0"/>
                <w:kern w:val="2"/>
                <w:sz w:val="18"/>
                <w:szCs w:val="1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当年校外课时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节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KX2211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1120" w:leftChars="3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当年学生数量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KX222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3.高等科学教育人才培养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当年本科专业学生数量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KX231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15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当年研究生专业学生数量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KX232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黑体" w:hAnsi="黑体" w:eastAsia="黑体" w:cs="黑体"/>
                <w:spacing w:val="0"/>
                <w:kern w:val="2"/>
                <w:sz w:val="18"/>
                <w:szCs w:val="18"/>
              </w:rPr>
              <w:t>三、中小学科普（技）活动场所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1.场所数量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个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KX310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gridAfter w:val="1"/>
          <w:wAfter w:w="39" w:type="dxa"/>
          <w:trHeight w:val="170" w:hRule="atLeast"/>
          <w:jc w:val="center"/>
        </w:trPr>
        <w:tc>
          <w:tcPr>
            <w:tcW w:w="4934" w:type="dxa"/>
            <w:gridSpan w:val="3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320" w:leftChars="10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2.当年服务学生数量</w:t>
            </w:r>
          </w:p>
        </w:tc>
        <w:tc>
          <w:tcPr>
            <w:tcW w:w="117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人</w:t>
            </w:r>
          </w:p>
        </w:tc>
        <w:tc>
          <w:tcPr>
            <w:tcW w:w="117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  <w:t>KX320</w:t>
            </w:r>
          </w:p>
        </w:tc>
        <w:tc>
          <w:tcPr>
            <w:tcW w:w="1177" w:type="dxa"/>
            <w:tcBorders>
              <w:top w:val="nil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18" w:beforeLines="20" w:line="216" w:lineRule="auto"/>
        <w:ind w:left="320" w:leftChars="100" w:right="320" w:rightChars="10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单位负责人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统计负责人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填表人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      联系电话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 xml:space="preserve">   报出日期</w:t>
      </w:r>
      <w:r>
        <w:rPr>
          <w:rFonts w:hint="eastAsia" w:ascii="Times New Roman" w:hAnsi="Times New Roman" w:eastAsia="仿宋_GB2312" w:cs="Times New Roman"/>
          <w:spacing w:val="0"/>
          <w:kern w:val="2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  <w:t>20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815" w:leftChars="100" w:right="160" w:rightChars="50" w:hanging="495" w:hangingChars="275"/>
        <w:jc w:val="both"/>
        <w:textAlignment w:val="auto"/>
        <w:outlineLvl w:val="1"/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18"/>
          <w:szCs w:val="18"/>
          <w:lang w:val="en-US" w:eastAsia="zh-CN" w:bidi="ar-SA"/>
        </w:rPr>
        <w:t>说明：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主要平衡关系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：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KX211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≥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 xml:space="preserve"> KX2111；KX221</w:t>
      </w:r>
      <w:r>
        <w:rPr>
          <w:rFonts w:hint="eastAsia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≥</w:t>
      </w:r>
      <w:r>
        <w:rPr>
          <w:rFonts w:hint="default" w:ascii="Times New Roman" w:hAnsi="Times New Roman" w:eastAsia="楷体_GB2312" w:cs="Times New Roman"/>
          <w:spacing w:val="0"/>
          <w:kern w:val="2"/>
          <w:sz w:val="18"/>
          <w:szCs w:val="18"/>
          <w:lang w:val="en-US" w:eastAsia="zh-CN" w:bidi="ar-SA"/>
        </w:rPr>
        <w:t>KX2211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10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6250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1" w:firstLineChars="200"/>
      <w:jc w:val="both"/>
    </w:pPr>
    <w:rPr>
      <w:rFonts w:ascii="FangSong_GB2312" w:hAnsi="FangSong_GB2312" w:eastAsia="FangSong_GB2312" w:cs="FangSong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FZXiaoBiaoSong-B05S" w:hAnsi="FZXiaoBiaoSong-B05S" w:eastAsia="FZXiaoBiaoSong-B05S" w:cs="FZXiaoBiaoSong-B05S"/>
      <w:sz w:val="44"/>
      <w:szCs w:val="44"/>
      <w:lang w:bidi="ar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1" w:firstLineChars="200"/>
      <w:outlineLvl w:val="1"/>
    </w:pPr>
    <w:rPr>
      <w:rFonts w:ascii="Heiti SC Medium" w:hAnsi="Heiti SC Medium" w:eastAsia="Heiti SC Medium" w:cs="Heiti SC Medium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autoRedefine/>
    <w:qFormat/>
    <w:uiPriority w:val="0"/>
    <w:rPr>
      <w:rFonts w:ascii="Heiti SC Medium" w:hAnsi="Heiti SC Medium" w:eastAsia="Heiti SC Medium" w:cs="Heiti SC Medium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2024-04-07T08:21:18Z</dcterms:created>
  <dc:creator>sjh</dc:creator>
  <cp:lastModifiedBy>孙继海</cp:lastModifiedBy>
  <dcterms:modified xsi:type="dcterms:W3CDTF">2024-04-07T08:22:02Z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7A2C0942DF10485FB3F408D60C7D2873_12</vt:lpwstr>
  </property>
</Properties>
</file>