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645"/>
        </w:tabs>
        <w:jc w:val="center"/>
        <w:outlineLvl w:val="1"/>
        <w:rPr>
          <w:rFonts w:ascii="Times New Roman" w:hAnsi="Times New Roman" w:eastAsia="黑体"/>
          <w:bCs/>
          <w:sz w:val="36"/>
          <w:szCs w:val="36"/>
        </w:rPr>
      </w:pPr>
      <w:bookmarkStart w:id="0" w:name="_Toc121734445"/>
      <w:bookmarkStart w:id="1" w:name="_Hlk122288612"/>
      <w:r>
        <w:rPr>
          <w:rFonts w:ascii="Times New Roman" w:hAnsi="Times New Roman"/>
          <w:bCs/>
          <w:sz w:val="32"/>
          <w:szCs w:val="24"/>
        </w:rPr>
        <w:t>高新技术</w:t>
      </w:r>
      <w:r>
        <w:rPr>
          <w:rFonts w:ascii="Times New Roman" w:hAnsi="Times New Roman"/>
          <w:bCs/>
          <w:sz w:val="32"/>
          <w:szCs w:val="32"/>
        </w:rPr>
        <w:t>企业综合统计快报表</w:t>
      </w:r>
      <w:bookmarkEnd w:id="0"/>
    </w:p>
    <w:tbl>
      <w:tblPr>
        <w:tblStyle w:val="3"/>
        <w:tblW w:w="93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2"/>
        <w:gridCol w:w="2065"/>
        <w:gridCol w:w="1145"/>
        <w:gridCol w:w="1064"/>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392" w:type="dxa"/>
            <w:gridSpan w:val="3"/>
            <w:tcBorders>
              <w:top w:val="nil"/>
              <w:left w:val="nil"/>
              <w:bottom w:val="nil"/>
              <w:right w:val="nil"/>
            </w:tcBorders>
            <w:vAlign w:val="center"/>
          </w:tcPr>
          <w:p>
            <w:pPr>
              <w:spacing w:line="280" w:lineRule="exact"/>
              <w:jc w:val="center"/>
              <w:rPr>
                <w:rFonts w:ascii="Times New Roman" w:hAnsi="Times New Roman"/>
                <w:bCs/>
                <w:sz w:val="18"/>
                <w:szCs w:val="18"/>
              </w:rPr>
            </w:pPr>
          </w:p>
        </w:tc>
        <w:tc>
          <w:tcPr>
            <w:tcW w:w="1064"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表号：</w:t>
            </w:r>
          </w:p>
        </w:tc>
        <w:tc>
          <w:tcPr>
            <w:tcW w:w="1937"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szCs w:val="18"/>
              </w:rPr>
              <w:t>ＧＱＫＢ－０１</w:t>
            </w:r>
            <w:r>
              <w:rPr>
                <w:rFonts w:ascii="Times New Roman" w:hAnsi="Times New Roman"/>
                <w:bCs/>
                <w:sz w:val="18"/>
              </w:rPr>
              <w:t>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392" w:type="dxa"/>
            <w:gridSpan w:val="3"/>
            <w:tcBorders>
              <w:top w:val="nil"/>
              <w:left w:val="nil"/>
              <w:bottom w:val="nil"/>
              <w:right w:val="nil"/>
            </w:tcBorders>
            <w:vAlign w:val="center"/>
          </w:tcPr>
          <w:p>
            <w:pPr>
              <w:jc w:val="center"/>
              <w:rPr>
                <w:rFonts w:ascii="Times New Roman" w:hAnsi="Times New Roman"/>
                <w:bCs/>
                <w:sz w:val="18"/>
                <w:szCs w:val="18"/>
              </w:rPr>
            </w:pPr>
          </w:p>
        </w:tc>
        <w:tc>
          <w:tcPr>
            <w:tcW w:w="1064"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制定机关：</w:t>
            </w:r>
          </w:p>
        </w:tc>
        <w:tc>
          <w:tcPr>
            <w:tcW w:w="1937"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科学技术部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392" w:type="dxa"/>
            <w:gridSpan w:val="3"/>
            <w:tcBorders>
              <w:top w:val="nil"/>
              <w:left w:val="nil"/>
              <w:bottom w:val="nil"/>
              <w:right w:val="nil"/>
            </w:tcBorders>
            <w:vAlign w:val="center"/>
          </w:tcPr>
          <w:p>
            <w:pPr>
              <w:spacing w:line="280" w:lineRule="exact"/>
              <w:jc w:val="center"/>
              <w:rPr>
                <w:rFonts w:ascii="Times New Roman" w:hAnsi="Times New Roman"/>
                <w:bCs/>
                <w:sz w:val="18"/>
                <w:szCs w:val="18"/>
              </w:rPr>
            </w:pPr>
          </w:p>
        </w:tc>
        <w:tc>
          <w:tcPr>
            <w:tcW w:w="1064" w:type="dxa"/>
            <w:tcBorders>
              <w:top w:val="nil"/>
              <w:left w:val="nil"/>
              <w:bottom w:val="nil"/>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批准机关：</w:t>
            </w:r>
          </w:p>
        </w:tc>
        <w:tc>
          <w:tcPr>
            <w:tcW w:w="1937"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国家统计局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6392" w:type="dxa"/>
            <w:gridSpan w:val="3"/>
            <w:tcBorders>
              <w:top w:val="nil"/>
              <w:left w:val="nil"/>
              <w:bottom w:val="nil"/>
              <w:right w:val="nil"/>
            </w:tcBorders>
            <w:vAlign w:val="center"/>
          </w:tcPr>
          <w:p>
            <w:pPr>
              <w:spacing w:line="280" w:lineRule="exact"/>
              <w:jc w:val="center"/>
              <w:rPr>
                <w:rFonts w:ascii="Times New Roman" w:hAnsi="Times New Roman"/>
                <w:bCs/>
                <w:sz w:val="18"/>
                <w:szCs w:val="18"/>
              </w:rPr>
            </w:pPr>
          </w:p>
        </w:tc>
        <w:tc>
          <w:tcPr>
            <w:tcW w:w="1064" w:type="dxa"/>
            <w:tcBorders>
              <w:top w:val="nil"/>
              <w:left w:val="nil"/>
              <w:bottom w:val="nil"/>
              <w:right w:val="nil"/>
            </w:tcBorders>
            <w:vAlign w:val="center"/>
          </w:tcPr>
          <w:p>
            <w:pPr>
              <w:pStyle w:val="6"/>
              <w:tabs>
                <w:tab w:val="left" w:pos="730"/>
              </w:tabs>
              <w:autoSpaceDE/>
              <w:autoSpaceDN/>
              <w:adjustRightInd/>
              <w:spacing w:before="14" w:line="240" w:lineRule="exact"/>
              <w:jc w:val="both"/>
              <w:rPr>
                <w:rFonts w:ascii="Times New Roman" w:hAnsi="Times New Roman"/>
                <w:bCs/>
                <w:sz w:val="18"/>
                <w:szCs w:val="18"/>
              </w:rPr>
            </w:pPr>
            <w:r>
              <w:rPr>
                <w:rFonts w:ascii="Times New Roman" w:hAnsi="Times New Roman"/>
                <w:bCs/>
                <w:sz w:val="18"/>
                <w:szCs w:val="18"/>
              </w:rPr>
              <w:t>批准文号：</w:t>
            </w:r>
          </w:p>
        </w:tc>
        <w:tc>
          <w:tcPr>
            <w:tcW w:w="1937" w:type="dxa"/>
            <w:tcBorders>
              <w:top w:val="nil"/>
              <w:left w:val="nil"/>
              <w:bottom w:val="nil"/>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rPr>
              <w:t>国统制〔2022〕11号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3182" w:type="dxa"/>
            <w:tcBorders>
              <w:top w:val="nil"/>
              <w:left w:val="nil"/>
              <w:bottom w:val="single" w:color="auto" w:sz="4" w:space="0"/>
              <w:right w:val="nil"/>
            </w:tcBorders>
            <w:vAlign w:val="center"/>
          </w:tcPr>
          <w:p>
            <w:pPr>
              <w:jc w:val="left"/>
              <w:rPr>
                <w:rFonts w:ascii="Times New Roman" w:hAnsi="Times New Roman"/>
                <w:bCs/>
                <w:sz w:val="18"/>
                <w:szCs w:val="18"/>
              </w:rPr>
            </w:pPr>
            <w:r>
              <w:rPr>
                <w:rFonts w:ascii="Times New Roman" w:hAnsi="Times New Roman"/>
                <w:bCs/>
                <w:sz w:val="18"/>
                <w:szCs w:val="20"/>
              </w:rPr>
              <w:t>综合机关名称：</w:t>
            </w:r>
          </w:p>
        </w:tc>
        <w:tc>
          <w:tcPr>
            <w:tcW w:w="3210" w:type="dxa"/>
            <w:gridSpan w:val="2"/>
            <w:tcBorders>
              <w:top w:val="nil"/>
              <w:left w:val="nil"/>
              <w:bottom w:val="single" w:color="auto" w:sz="4" w:space="0"/>
              <w:right w:val="nil"/>
            </w:tcBorders>
            <w:vAlign w:val="center"/>
          </w:tcPr>
          <w:p>
            <w:pPr>
              <w:spacing w:line="280" w:lineRule="exact"/>
              <w:jc w:val="center"/>
              <w:rPr>
                <w:rFonts w:ascii="Times New Roman" w:hAnsi="Times New Roman"/>
                <w:bCs/>
                <w:sz w:val="18"/>
                <w:szCs w:val="18"/>
              </w:rPr>
            </w:pPr>
            <w:r>
              <w:rPr>
                <w:rFonts w:ascii="Times New Roman" w:hAnsi="Times New Roman"/>
                <w:bCs/>
                <w:sz w:val="18"/>
                <w:szCs w:val="20"/>
              </w:rPr>
              <w:t>２０</w:t>
            </w:r>
            <w:r>
              <w:rPr>
                <w:rFonts w:hint="eastAsia" w:ascii="Times New Roman" w:hAnsi="Times New Roman"/>
                <w:bCs/>
                <w:sz w:val="18"/>
                <w:szCs w:val="20"/>
                <w:u w:val="single"/>
              </w:rPr>
              <w:t xml:space="preserve"> </w:t>
            </w:r>
            <w:r>
              <w:rPr>
                <w:rFonts w:ascii="Times New Roman" w:hAnsi="Times New Roman"/>
                <w:bCs/>
                <w:sz w:val="18"/>
                <w:szCs w:val="20"/>
                <w:u w:val="single"/>
              </w:rPr>
              <w:t xml:space="preserve">   </w:t>
            </w:r>
            <w:r>
              <w:rPr>
                <w:rFonts w:ascii="Times New Roman" w:hAnsi="Times New Roman"/>
                <w:bCs/>
                <w:sz w:val="18"/>
                <w:szCs w:val="20"/>
              </w:rPr>
              <w:t>年</w:t>
            </w:r>
          </w:p>
        </w:tc>
        <w:tc>
          <w:tcPr>
            <w:tcW w:w="1064" w:type="dxa"/>
            <w:tcBorders>
              <w:top w:val="nil"/>
              <w:left w:val="nil"/>
              <w:bottom w:val="single" w:color="auto" w:sz="4" w:space="0"/>
              <w:right w:val="nil"/>
            </w:tcBorders>
            <w:vAlign w:val="center"/>
          </w:tcPr>
          <w:p>
            <w:pPr>
              <w:snapToGrid w:val="0"/>
              <w:spacing w:line="240" w:lineRule="exact"/>
              <w:rPr>
                <w:rFonts w:ascii="Times New Roman" w:hAnsi="Times New Roman"/>
                <w:bCs/>
                <w:sz w:val="18"/>
                <w:szCs w:val="18"/>
              </w:rPr>
            </w:pPr>
            <w:r>
              <w:rPr>
                <w:rFonts w:ascii="Times New Roman" w:hAnsi="Times New Roman"/>
                <w:bCs/>
                <w:sz w:val="18"/>
                <w:szCs w:val="18"/>
              </w:rPr>
              <w:t>有效期至：</w:t>
            </w:r>
          </w:p>
        </w:tc>
        <w:tc>
          <w:tcPr>
            <w:tcW w:w="1937" w:type="dxa"/>
            <w:tcBorders>
              <w:top w:val="nil"/>
              <w:left w:val="nil"/>
              <w:bottom w:val="single" w:color="auto" w:sz="4" w:space="0"/>
              <w:right w:val="nil"/>
            </w:tcBorders>
            <w:vAlign w:val="center"/>
          </w:tcPr>
          <w:p>
            <w:pPr>
              <w:spacing w:line="240" w:lineRule="exact"/>
              <w:jc w:val="right"/>
              <w:rPr>
                <w:rFonts w:ascii="Times New Roman" w:hAnsi="Times New Roman"/>
                <w:bCs/>
                <w:sz w:val="18"/>
                <w:szCs w:val="18"/>
              </w:rPr>
            </w:pPr>
            <w:r>
              <w:rPr>
                <w:rFonts w:ascii="Times New Roman" w:hAnsi="Times New Roman"/>
                <w:bCs/>
                <w:sz w:val="18"/>
                <w:szCs w:val="18"/>
              </w:rPr>
              <w:t>２０２５</w:t>
            </w:r>
            <w:r>
              <w:rPr>
                <w:rFonts w:ascii="Times New Roman" w:hAnsi="Times New Roman"/>
                <w:bCs/>
                <w:sz w:val="18"/>
              </w:rPr>
              <w:t>年１月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 w:val="18"/>
                <w:szCs w:val="18"/>
              </w:rPr>
            </w:pPr>
            <w:r>
              <w:rPr>
                <w:rFonts w:ascii="Times New Roman" w:hAnsi="Times New Roman"/>
                <w:bCs/>
                <w:sz w:val="18"/>
                <w:szCs w:val="18"/>
              </w:rPr>
              <w:t>指标名称</w:t>
            </w:r>
          </w:p>
        </w:tc>
        <w:tc>
          <w:tcPr>
            <w:tcW w:w="1145" w:type="dxa"/>
            <w:tcBorders>
              <w:top w:val="single" w:color="auto" w:sz="4" w:space="0"/>
              <w:left w:val="nil"/>
              <w:bottom w:val="single" w:color="auto" w:sz="4" w:space="0"/>
              <w:right w:val="nil"/>
            </w:tcBorders>
            <w:vAlign w:val="center"/>
          </w:tcPr>
          <w:p>
            <w:pPr>
              <w:spacing w:line="240" w:lineRule="exact"/>
              <w:jc w:val="center"/>
              <w:rPr>
                <w:rFonts w:ascii="Times New Roman" w:hAnsi="Times New Roman"/>
                <w:bCs/>
                <w:szCs w:val="21"/>
              </w:rPr>
            </w:pPr>
            <w:r>
              <w:rPr>
                <w:rFonts w:ascii="Times New Roman" w:hAnsi="Times New Roman"/>
                <w:bCs/>
                <w:sz w:val="18"/>
                <w:szCs w:val="18"/>
              </w:rPr>
              <w:t>计量单位</w:t>
            </w:r>
          </w:p>
        </w:tc>
        <w:tc>
          <w:tcPr>
            <w:tcW w:w="1064" w:type="dxa"/>
            <w:tcBorders>
              <w:top w:val="single" w:color="auto" w:sz="4" w:space="0"/>
              <w:left w:val="single" w:color="auto" w:sz="4" w:space="0"/>
              <w:bottom w:val="single" w:color="auto" w:sz="4" w:space="0"/>
              <w:right w:val="nil"/>
            </w:tcBorders>
            <w:vAlign w:val="center"/>
          </w:tcPr>
          <w:p>
            <w:pPr>
              <w:spacing w:line="300" w:lineRule="exact"/>
              <w:jc w:val="center"/>
              <w:rPr>
                <w:rFonts w:ascii="Times New Roman" w:hAnsi="Times New Roman"/>
                <w:bCs/>
                <w:sz w:val="18"/>
                <w:szCs w:val="18"/>
              </w:rPr>
            </w:pPr>
            <w:r>
              <w:rPr>
                <w:rFonts w:ascii="Times New Roman" w:hAnsi="Times New Roman"/>
                <w:bCs/>
                <w:sz w:val="18"/>
                <w:szCs w:val="18"/>
              </w:rPr>
              <w:t>代码</w:t>
            </w:r>
          </w:p>
        </w:tc>
        <w:tc>
          <w:tcPr>
            <w:tcW w:w="1937" w:type="dxa"/>
            <w:tcBorders>
              <w:top w:val="single" w:color="auto" w:sz="4" w:space="0"/>
              <w:left w:val="single" w:color="auto" w:sz="4" w:space="0"/>
              <w:bottom w:val="single" w:color="auto" w:sz="4" w:space="0"/>
              <w:right w:val="nil"/>
            </w:tcBorders>
            <w:vAlign w:val="center"/>
          </w:tcPr>
          <w:p>
            <w:pPr>
              <w:spacing w:line="300" w:lineRule="exact"/>
              <w:jc w:val="center"/>
              <w:rPr>
                <w:rFonts w:ascii="Times New Roman" w:hAnsi="Times New Roman"/>
                <w:bCs/>
                <w:sz w:val="18"/>
                <w:szCs w:val="18"/>
              </w:rPr>
            </w:pPr>
            <w:r>
              <w:rPr>
                <w:rFonts w:ascii="Times New Roman" w:hAnsi="Times New Roman"/>
                <w:bCs/>
                <w:sz w:val="18"/>
                <w:szCs w:val="1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ascii="Times New Roman" w:hAnsi="Times New Roman"/>
                <w:bCs/>
                <w:sz w:val="18"/>
                <w:szCs w:val="18"/>
              </w:rPr>
            </w:pPr>
            <w:r>
              <w:rPr>
                <w:rFonts w:ascii="Times New Roman" w:hAnsi="Times New Roman"/>
                <w:bCs/>
                <w:sz w:val="18"/>
                <w:szCs w:val="18"/>
              </w:rPr>
              <w:t>甲</w:t>
            </w:r>
          </w:p>
        </w:tc>
        <w:tc>
          <w:tcPr>
            <w:tcW w:w="1145" w:type="dxa"/>
            <w:tcBorders>
              <w:top w:val="single" w:color="auto" w:sz="4" w:space="0"/>
              <w:left w:val="nil"/>
              <w:bottom w:val="single" w:color="auto" w:sz="4" w:space="0"/>
              <w:right w:val="nil"/>
            </w:tcBorders>
            <w:vAlign w:val="center"/>
          </w:tcPr>
          <w:p>
            <w:pPr>
              <w:spacing w:line="240" w:lineRule="exact"/>
              <w:jc w:val="center"/>
              <w:rPr>
                <w:rFonts w:ascii="Times New Roman" w:hAnsi="Times New Roman"/>
                <w:bCs/>
                <w:sz w:val="18"/>
                <w:szCs w:val="18"/>
              </w:rPr>
            </w:pPr>
            <w:r>
              <w:rPr>
                <w:rFonts w:ascii="Times New Roman" w:hAnsi="Times New Roman"/>
                <w:bCs/>
                <w:sz w:val="18"/>
                <w:szCs w:val="18"/>
              </w:rPr>
              <w:t>乙</w:t>
            </w:r>
          </w:p>
        </w:tc>
        <w:tc>
          <w:tcPr>
            <w:tcW w:w="1064" w:type="dxa"/>
            <w:tcBorders>
              <w:top w:val="single" w:color="auto" w:sz="4" w:space="0"/>
              <w:left w:val="single" w:color="auto" w:sz="4" w:space="0"/>
              <w:bottom w:val="single" w:color="auto" w:sz="4" w:space="0"/>
              <w:right w:val="nil"/>
            </w:tcBorders>
            <w:vAlign w:val="center"/>
          </w:tcPr>
          <w:p>
            <w:pPr>
              <w:spacing w:line="300" w:lineRule="exact"/>
              <w:jc w:val="center"/>
              <w:rPr>
                <w:rFonts w:ascii="Times New Roman" w:hAnsi="Times New Roman"/>
                <w:bCs/>
                <w:sz w:val="18"/>
                <w:szCs w:val="18"/>
              </w:rPr>
            </w:pPr>
            <w:r>
              <w:rPr>
                <w:rFonts w:ascii="Times New Roman" w:hAnsi="Times New Roman"/>
                <w:bCs/>
                <w:sz w:val="18"/>
                <w:szCs w:val="18"/>
              </w:rPr>
              <w:t>丙</w:t>
            </w:r>
          </w:p>
        </w:tc>
        <w:tc>
          <w:tcPr>
            <w:tcW w:w="1937" w:type="dxa"/>
            <w:tcBorders>
              <w:top w:val="single" w:color="auto" w:sz="4" w:space="0"/>
              <w:left w:val="single" w:color="auto" w:sz="4" w:space="0"/>
              <w:bottom w:val="single" w:color="auto" w:sz="4" w:space="0"/>
              <w:right w:val="nil"/>
            </w:tcBorders>
            <w:vAlign w:val="center"/>
          </w:tcPr>
          <w:p>
            <w:pPr>
              <w:spacing w:line="300" w:lineRule="exact"/>
              <w:jc w:val="center"/>
              <w:rPr>
                <w:rFonts w:ascii="Times New Roman" w:hAnsi="Times New Roman"/>
                <w:bCs/>
                <w:sz w:val="18"/>
                <w:szCs w:val="18"/>
              </w:rPr>
            </w:pPr>
            <w:r>
              <w:rPr>
                <w:rFonts w:ascii="Times New Roman" w:hAnsi="Times New Roman"/>
                <w:bCs/>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rPr>
                <w:rFonts w:cstheme="minorHAnsi"/>
                <w:bCs/>
                <w:sz w:val="18"/>
                <w:szCs w:val="18"/>
              </w:rPr>
            </w:pPr>
            <w:r>
              <w:rPr>
                <w:rFonts w:cstheme="minorHAnsi"/>
                <w:bCs/>
                <w:sz w:val="18"/>
                <w:szCs w:val="18"/>
              </w:rPr>
              <w:t>一、统计的高新技术企业数量（K1A1_0&gt;K1A2）</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sz w:val="18"/>
                <w:szCs w:val="18"/>
              </w:rPr>
            </w:pPr>
            <w:r>
              <w:rPr>
                <w:rFonts w:cstheme="minorHAnsi"/>
                <w:bCs/>
                <w:sz w:val="18"/>
                <w:szCs w:val="18"/>
              </w:rPr>
              <w:t>家</w:t>
            </w:r>
          </w:p>
        </w:tc>
        <w:tc>
          <w:tcPr>
            <w:tcW w:w="1064" w:type="dxa"/>
            <w:tcBorders>
              <w:top w:val="single" w:color="auto" w:sz="4" w:space="0"/>
              <w:left w:val="single" w:color="auto" w:sz="4" w:space="0"/>
              <w:bottom w:val="single" w:color="auto" w:sz="4" w:space="0"/>
              <w:right w:val="nil"/>
            </w:tcBorders>
            <w:vAlign w:val="center"/>
          </w:tcPr>
          <w:p>
            <w:pPr>
              <w:spacing w:line="280" w:lineRule="exact"/>
              <w:jc w:val="center"/>
              <w:rPr>
                <w:rFonts w:cstheme="minorHAnsi"/>
                <w:bCs/>
                <w:sz w:val="18"/>
                <w:szCs w:val="18"/>
              </w:rPr>
            </w:pPr>
            <w:r>
              <w:rPr>
                <w:rFonts w:cstheme="minorHAnsi"/>
                <w:bCs/>
                <w:sz w:val="18"/>
                <w:szCs w:val="18"/>
              </w:rPr>
              <w:t>K1A1_0</w:t>
            </w:r>
          </w:p>
        </w:tc>
        <w:tc>
          <w:tcPr>
            <w:tcW w:w="1937" w:type="dxa"/>
            <w:tcBorders>
              <w:top w:val="single" w:color="auto" w:sz="4" w:space="0"/>
              <w:left w:val="single" w:color="auto" w:sz="4" w:space="0"/>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ind w:firstLine="360" w:firstLineChars="200"/>
              <w:rPr>
                <w:rFonts w:cstheme="minorHAnsi"/>
                <w:bCs/>
                <w:sz w:val="18"/>
                <w:szCs w:val="18"/>
              </w:rPr>
            </w:pPr>
            <w:r>
              <w:rPr>
                <w:rFonts w:cstheme="minorHAnsi"/>
                <w:bCs/>
                <w:sz w:val="18"/>
                <w:szCs w:val="18"/>
              </w:rPr>
              <w:t>其中：收入上亿企业</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sz w:val="18"/>
                <w:szCs w:val="18"/>
              </w:rPr>
            </w:pPr>
            <w:r>
              <w:rPr>
                <w:rFonts w:cstheme="minorHAnsi"/>
                <w:bCs/>
                <w:sz w:val="18"/>
                <w:szCs w:val="18"/>
              </w:rPr>
              <w:t>家</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sz w:val="18"/>
                <w:szCs w:val="18"/>
              </w:rPr>
              <w:t>K1A2</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rPr>
                <w:rFonts w:cstheme="minorHAnsi"/>
                <w:bCs/>
                <w:sz w:val="18"/>
                <w:szCs w:val="18"/>
              </w:rPr>
            </w:pPr>
            <w:r>
              <w:rPr>
                <w:rFonts w:cstheme="minorHAnsi"/>
                <w:bCs/>
                <w:kern w:val="0"/>
                <w:sz w:val="18"/>
                <w:szCs w:val="18"/>
              </w:rPr>
              <w:t>二、统计高企年末从业人员</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sz w:val="18"/>
                <w:szCs w:val="18"/>
              </w:rPr>
            </w:pPr>
            <w:r>
              <w:rPr>
                <w:rFonts w:cstheme="minorHAnsi"/>
                <w:bCs/>
                <w:sz w:val="18"/>
                <w:szCs w:val="18"/>
              </w:rPr>
              <w:t>人</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K1B</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rPr>
                <w:rFonts w:cstheme="minorHAnsi"/>
                <w:bCs/>
                <w:sz w:val="18"/>
                <w:szCs w:val="18"/>
              </w:rPr>
            </w:pPr>
            <w:r>
              <w:rPr>
                <w:rFonts w:cstheme="minorHAnsi"/>
                <w:bCs/>
                <w:sz w:val="18"/>
                <w:szCs w:val="18"/>
              </w:rPr>
              <w:t>三、营业收入（K1C1&gt;=K1C2）</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sz w:val="18"/>
                <w:szCs w:val="18"/>
              </w:rPr>
            </w:pPr>
            <w:r>
              <w:rPr>
                <w:rFonts w:cstheme="minorHAnsi"/>
                <w:bCs/>
                <w:kern w:val="0"/>
                <w:sz w:val="18"/>
                <w:szCs w:val="18"/>
              </w:rPr>
              <w:t>千元</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K1C1</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rPr>
                <w:rFonts w:cstheme="minorHAnsi"/>
                <w:bCs/>
                <w:sz w:val="18"/>
                <w:szCs w:val="18"/>
              </w:rPr>
            </w:pPr>
            <w:r>
              <w:rPr>
                <w:rFonts w:cstheme="minorHAnsi"/>
                <w:bCs/>
                <w:sz w:val="18"/>
                <w:szCs w:val="18"/>
              </w:rPr>
              <w:t>四、出口总额</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sz w:val="18"/>
                <w:szCs w:val="18"/>
              </w:rPr>
            </w:pPr>
            <w:r>
              <w:rPr>
                <w:rFonts w:cstheme="minorHAnsi"/>
                <w:bCs/>
                <w:kern w:val="0"/>
                <w:sz w:val="18"/>
                <w:szCs w:val="18"/>
              </w:rPr>
              <w:t>千元</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sz w:val="18"/>
                <w:szCs w:val="18"/>
              </w:rPr>
              <w:t>K1C2</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rPr>
                <w:rFonts w:cstheme="minorHAnsi"/>
                <w:bCs/>
                <w:sz w:val="18"/>
                <w:szCs w:val="18"/>
              </w:rPr>
            </w:pPr>
            <w:r>
              <w:rPr>
                <w:rFonts w:cstheme="minorHAnsi"/>
                <w:bCs/>
                <w:sz w:val="18"/>
                <w:szCs w:val="18"/>
              </w:rPr>
              <w:t>五、工业总产值</w:t>
            </w:r>
            <w:bookmarkStart w:id="2" w:name="_GoBack"/>
            <w:bookmarkEnd w:id="2"/>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sz w:val="18"/>
                <w:szCs w:val="18"/>
              </w:rPr>
            </w:pPr>
            <w:r>
              <w:rPr>
                <w:rFonts w:cstheme="minorHAnsi"/>
                <w:bCs/>
                <w:kern w:val="0"/>
                <w:sz w:val="18"/>
                <w:szCs w:val="18"/>
              </w:rPr>
              <w:t>千元</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K1D</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rPr>
                <w:rFonts w:cstheme="minorHAnsi"/>
                <w:bCs/>
                <w:sz w:val="18"/>
                <w:szCs w:val="18"/>
              </w:rPr>
            </w:pPr>
            <w:r>
              <w:rPr>
                <w:rFonts w:cstheme="minorHAnsi"/>
                <w:bCs/>
                <w:sz w:val="18"/>
                <w:szCs w:val="18"/>
              </w:rPr>
              <w:t>六、利润总额</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kern w:val="0"/>
                <w:sz w:val="18"/>
                <w:szCs w:val="18"/>
              </w:rPr>
            </w:pPr>
            <w:r>
              <w:rPr>
                <w:rFonts w:cstheme="minorHAnsi"/>
                <w:bCs/>
                <w:kern w:val="0"/>
                <w:sz w:val="18"/>
                <w:szCs w:val="18"/>
              </w:rPr>
              <w:t>千元</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kern w:val="0"/>
                <w:sz w:val="18"/>
                <w:szCs w:val="18"/>
              </w:rPr>
            </w:pPr>
            <w:r>
              <w:rPr>
                <w:rFonts w:cstheme="minorHAnsi"/>
                <w:bCs/>
                <w:kern w:val="0"/>
                <w:sz w:val="18"/>
                <w:szCs w:val="18"/>
              </w:rPr>
              <w:t>K2E</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spacing w:line="280" w:lineRule="exact"/>
              <w:rPr>
                <w:rFonts w:cstheme="minorHAnsi"/>
                <w:bCs/>
                <w:sz w:val="18"/>
                <w:szCs w:val="18"/>
              </w:rPr>
            </w:pPr>
            <w:r>
              <w:rPr>
                <w:rFonts w:cstheme="minorHAnsi"/>
                <w:bCs/>
                <w:sz w:val="18"/>
                <w:szCs w:val="18"/>
              </w:rPr>
              <w:t>七、净利润</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sz w:val="18"/>
                <w:szCs w:val="18"/>
              </w:rPr>
            </w:pPr>
            <w:r>
              <w:rPr>
                <w:rFonts w:cstheme="minorHAnsi"/>
                <w:bCs/>
                <w:kern w:val="0"/>
                <w:sz w:val="18"/>
                <w:szCs w:val="18"/>
              </w:rPr>
              <w:t>千元</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sz w:val="18"/>
                <w:szCs w:val="18"/>
              </w:rPr>
            </w:pPr>
            <w:r>
              <w:rPr>
                <w:rFonts w:cstheme="minorHAnsi"/>
                <w:bCs/>
                <w:kern w:val="0"/>
                <w:sz w:val="18"/>
                <w:szCs w:val="18"/>
              </w:rPr>
              <w:t>K1E</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八、实际上缴税费总额</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kern w:val="0"/>
                <w:sz w:val="18"/>
                <w:szCs w:val="18"/>
              </w:rPr>
            </w:pPr>
            <w:r>
              <w:rPr>
                <w:rFonts w:cstheme="minorHAnsi"/>
                <w:bCs/>
                <w:kern w:val="0"/>
                <w:sz w:val="18"/>
                <w:szCs w:val="18"/>
              </w:rPr>
              <w:t>千元</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kern w:val="0"/>
                <w:sz w:val="18"/>
                <w:szCs w:val="18"/>
              </w:rPr>
            </w:pPr>
            <w:r>
              <w:rPr>
                <w:rFonts w:cstheme="minorHAnsi"/>
                <w:bCs/>
                <w:kern w:val="0"/>
                <w:sz w:val="18"/>
                <w:szCs w:val="18"/>
              </w:rPr>
              <w:t>K1F</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4" w:space="0"/>
              <w:right w:val="single" w:color="auto" w:sz="4" w:space="0"/>
            </w:tcBorders>
            <w:vAlign w:val="center"/>
          </w:tcPr>
          <w:p>
            <w:pPr>
              <w:widowControl/>
              <w:spacing w:line="280" w:lineRule="exact"/>
              <w:rPr>
                <w:rFonts w:cstheme="minorHAnsi"/>
                <w:bCs/>
                <w:kern w:val="0"/>
                <w:sz w:val="18"/>
                <w:szCs w:val="18"/>
              </w:rPr>
            </w:pPr>
            <w:r>
              <w:rPr>
                <w:rFonts w:cstheme="minorHAnsi"/>
                <w:bCs/>
                <w:kern w:val="0"/>
                <w:sz w:val="18"/>
                <w:szCs w:val="18"/>
              </w:rPr>
              <w:t>九、实际减免税额（</w:t>
            </w:r>
            <w:r>
              <w:rPr>
                <w:rFonts w:cstheme="minorHAnsi"/>
                <w:bCs/>
                <w:sz w:val="18"/>
                <w:szCs w:val="18"/>
              </w:rPr>
              <w:t>K1G&gt;KH</w:t>
            </w:r>
            <w:r>
              <w:rPr>
                <w:rFonts w:hint="eastAsia" w:cstheme="minorHAnsi"/>
                <w:bCs/>
                <w:sz w:val="18"/>
                <w:szCs w:val="18"/>
                <w:lang w:val="en-US" w:eastAsia="zh-CN"/>
              </w:rPr>
              <w:t>+KJ</w:t>
            </w:r>
            <w:r>
              <w:rPr>
                <w:rFonts w:cstheme="minorHAnsi"/>
                <w:bCs/>
                <w:sz w:val="18"/>
                <w:szCs w:val="18"/>
              </w:rPr>
              <w:t>）</w:t>
            </w:r>
          </w:p>
        </w:tc>
        <w:tc>
          <w:tcPr>
            <w:tcW w:w="1145" w:type="dxa"/>
            <w:tcBorders>
              <w:top w:val="single" w:color="auto" w:sz="4" w:space="0"/>
              <w:left w:val="nil"/>
              <w:bottom w:val="single" w:color="auto" w:sz="4" w:space="0"/>
              <w:right w:val="nil"/>
            </w:tcBorders>
            <w:vAlign w:val="center"/>
          </w:tcPr>
          <w:p>
            <w:pPr>
              <w:spacing w:line="280" w:lineRule="exact"/>
              <w:jc w:val="center"/>
              <w:rPr>
                <w:rFonts w:cstheme="minorHAnsi"/>
                <w:bCs/>
                <w:kern w:val="0"/>
                <w:sz w:val="18"/>
                <w:szCs w:val="18"/>
              </w:rPr>
            </w:pPr>
            <w:r>
              <w:rPr>
                <w:rFonts w:cstheme="minorHAnsi"/>
                <w:bCs/>
                <w:kern w:val="0"/>
                <w:sz w:val="18"/>
                <w:szCs w:val="18"/>
              </w:rPr>
              <w:t>千元</w:t>
            </w:r>
          </w:p>
        </w:tc>
        <w:tc>
          <w:tcPr>
            <w:tcW w:w="1064" w:type="dxa"/>
            <w:tcBorders>
              <w:top w:val="single" w:color="auto" w:sz="4" w:space="0"/>
              <w:left w:val="single" w:color="auto" w:sz="4" w:space="0"/>
              <w:bottom w:val="single" w:color="auto" w:sz="4" w:space="0"/>
              <w:right w:val="single" w:color="auto" w:sz="4" w:space="0"/>
            </w:tcBorders>
            <w:vAlign w:val="center"/>
          </w:tcPr>
          <w:p>
            <w:pPr>
              <w:spacing w:line="280" w:lineRule="exact"/>
              <w:jc w:val="center"/>
              <w:rPr>
                <w:rFonts w:cstheme="minorHAnsi"/>
                <w:bCs/>
                <w:kern w:val="0"/>
                <w:sz w:val="18"/>
                <w:szCs w:val="18"/>
              </w:rPr>
            </w:pPr>
            <w:r>
              <w:rPr>
                <w:rFonts w:cstheme="minorHAnsi"/>
                <w:bCs/>
                <w:kern w:val="0"/>
                <w:sz w:val="18"/>
                <w:szCs w:val="18"/>
              </w:rPr>
              <w:t>K1G</w:t>
            </w:r>
          </w:p>
        </w:tc>
        <w:tc>
          <w:tcPr>
            <w:tcW w:w="1937" w:type="dxa"/>
            <w:tcBorders>
              <w:top w:val="single" w:color="auto" w:sz="4" w:space="0"/>
              <w:left w:val="nil"/>
              <w:bottom w:val="single" w:color="auto" w:sz="4"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2" w:space="0"/>
              <w:right w:val="single" w:color="auto" w:sz="2" w:space="0"/>
            </w:tcBorders>
            <w:vAlign w:val="center"/>
          </w:tcPr>
          <w:p>
            <w:pPr>
              <w:widowControl/>
              <w:spacing w:line="280" w:lineRule="exact"/>
              <w:ind w:firstLine="360" w:firstLineChars="200"/>
              <w:rPr>
                <w:rFonts w:cstheme="minorHAnsi"/>
                <w:bCs/>
                <w:kern w:val="0"/>
                <w:sz w:val="18"/>
                <w:szCs w:val="18"/>
              </w:rPr>
            </w:pPr>
            <w:r>
              <w:rPr>
                <w:rFonts w:cstheme="minorHAnsi"/>
                <w:bCs/>
                <w:kern w:val="0"/>
                <w:sz w:val="18"/>
                <w:szCs w:val="18"/>
              </w:rPr>
              <w:t>其中：享受高新技术企业政策减免所得税</w:t>
            </w:r>
          </w:p>
        </w:tc>
        <w:tc>
          <w:tcPr>
            <w:tcW w:w="1145"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cstheme="minorHAnsi"/>
                <w:bCs/>
                <w:kern w:val="0"/>
                <w:sz w:val="18"/>
                <w:szCs w:val="18"/>
              </w:rPr>
            </w:pPr>
            <w:r>
              <w:rPr>
                <w:rFonts w:cstheme="minorHAnsi"/>
                <w:bCs/>
                <w:kern w:val="0"/>
                <w:sz w:val="18"/>
                <w:szCs w:val="18"/>
              </w:rPr>
              <w:t>千元</w:t>
            </w:r>
          </w:p>
        </w:tc>
        <w:tc>
          <w:tcPr>
            <w:tcW w:w="1064"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cstheme="minorHAnsi"/>
                <w:bCs/>
                <w:kern w:val="0"/>
                <w:sz w:val="18"/>
                <w:szCs w:val="18"/>
              </w:rPr>
            </w:pPr>
            <w:r>
              <w:rPr>
                <w:rFonts w:cstheme="minorHAnsi"/>
                <w:bCs/>
                <w:kern w:val="0"/>
                <w:sz w:val="18"/>
                <w:szCs w:val="18"/>
              </w:rPr>
              <w:t>KH</w:t>
            </w:r>
          </w:p>
        </w:tc>
        <w:tc>
          <w:tcPr>
            <w:tcW w:w="1937" w:type="dxa"/>
            <w:tcBorders>
              <w:top w:val="single" w:color="auto" w:sz="4" w:space="0"/>
              <w:left w:val="single" w:color="auto" w:sz="2" w:space="0"/>
              <w:bottom w:val="single" w:color="auto" w:sz="2"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5247" w:type="dxa"/>
            <w:gridSpan w:val="2"/>
            <w:tcBorders>
              <w:top w:val="single" w:color="auto" w:sz="4" w:space="0"/>
              <w:left w:val="nil"/>
              <w:bottom w:val="single" w:color="auto" w:sz="2" w:space="0"/>
              <w:right w:val="single" w:color="auto" w:sz="2" w:space="0"/>
            </w:tcBorders>
            <w:vAlign w:val="center"/>
          </w:tcPr>
          <w:p>
            <w:pPr>
              <w:widowControl/>
              <w:spacing w:line="280" w:lineRule="exact"/>
              <w:ind w:firstLine="900" w:firstLineChars="500"/>
              <w:rPr>
                <w:rFonts w:cstheme="minorHAnsi"/>
                <w:bCs/>
                <w:kern w:val="0"/>
                <w:sz w:val="18"/>
                <w:szCs w:val="18"/>
              </w:rPr>
            </w:pPr>
            <w:r>
              <w:rPr>
                <w:rFonts w:hint="eastAsia" w:cstheme="minorHAnsi"/>
                <w:bCs/>
                <w:kern w:val="0"/>
                <w:sz w:val="18"/>
                <w:szCs w:val="18"/>
              </w:rPr>
              <w:t>享受先进制造业企业增值税加计抵减额</w:t>
            </w:r>
          </w:p>
        </w:tc>
        <w:tc>
          <w:tcPr>
            <w:tcW w:w="1145"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cstheme="minorHAnsi"/>
                <w:bCs/>
                <w:kern w:val="0"/>
                <w:sz w:val="18"/>
                <w:szCs w:val="18"/>
              </w:rPr>
            </w:pPr>
            <w:r>
              <w:rPr>
                <w:rFonts w:cstheme="minorHAnsi"/>
                <w:bCs/>
                <w:kern w:val="0"/>
                <w:sz w:val="18"/>
                <w:szCs w:val="18"/>
              </w:rPr>
              <w:t>千元</w:t>
            </w:r>
          </w:p>
        </w:tc>
        <w:tc>
          <w:tcPr>
            <w:tcW w:w="1064" w:type="dxa"/>
            <w:tcBorders>
              <w:top w:val="single" w:color="auto" w:sz="4" w:space="0"/>
              <w:left w:val="single" w:color="auto" w:sz="2" w:space="0"/>
              <w:bottom w:val="single" w:color="auto" w:sz="2" w:space="0"/>
              <w:right w:val="single" w:color="auto" w:sz="2" w:space="0"/>
            </w:tcBorders>
            <w:vAlign w:val="center"/>
          </w:tcPr>
          <w:p>
            <w:pPr>
              <w:spacing w:line="280" w:lineRule="exact"/>
              <w:jc w:val="center"/>
              <w:rPr>
                <w:rFonts w:hint="default" w:eastAsia="宋体" w:cstheme="minorHAnsi"/>
                <w:bCs/>
                <w:kern w:val="0"/>
                <w:sz w:val="18"/>
                <w:szCs w:val="18"/>
                <w:lang w:val="en-US" w:eastAsia="zh-CN"/>
              </w:rPr>
            </w:pPr>
            <w:r>
              <w:rPr>
                <w:rFonts w:hint="eastAsia" w:cstheme="minorHAnsi"/>
                <w:bCs/>
                <w:kern w:val="0"/>
                <w:sz w:val="18"/>
                <w:szCs w:val="18"/>
                <w:lang w:val="en-US" w:eastAsia="zh-CN"/>
              </w:rPr>
              <w:t>KJ</w:t>
            </w:r>
          </w:p>
        </w:tc>
        <w:tc>
          <w:tcPr>
            <w:tcW w:w="1937" w:type="dxa"/>
            <w:tcBorders>
              <w:top w:val="single" w:color="auto" w:sz="4" w:space="0"/>
              <w:left w:val="single" w:color="auto" w:sz="2" w:space="0"/>
              <w:bottom w:val="single" w:color="auto" w:sz="2" w:space="0"/>
              <w:right w:val="nil"/>
            </w:tcBorders>
            <w:vAlign w:val="center"/>
          </w:tcPr>
          <w:p>
            <w:pPr>
              <w:spacing w:line="280" w:lineRule="exact"/>
              <w:jc w:val="center"/>
              <w:rPr>
                <w:rFonts w:ascii="Times New Roman" w:hAnsi="Times New Roman"/>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93" w:type="dxa"/>
            <w:gridSpan w:val="5"/>
            <w:tcBorders>
              <w:top w:val="single" w:color="auto" w:sz="2" w:space="0"/>
              <w:left w:val="nil"/>
              <w:bottom w:val="single" w:color="auto" w:sz="8" w:space="0"/>
              <w:right w:val="nil"/>
            </w:tcBorders>
            <w:vAlign w:val="center"/>
          </w:tcPr>
          <w:p>
            <w:pPr>
              <w:snapToGrid w:val="0"/>
              <w:spacing w:line="280" w:lineRule="exact"/>
              <w:jc w:val="left"/>
              <w:rPr>
                <w:rFonts w:ascii="Times New Roman" w:hAnsi="Times New Roman"/>
                <w:bCs/>
                <w:sz w:val="18"/>
                <w:szCs w:val="24"/>
              </w:rPr>
            </w:pPr>
            <w:r>
              <w:rPr>
                <w:rFonts w:ascii="Times New Roman" w:hAnsi="Times New Roman"/>
                <w:bCs/>
                <w:sz w:val="18"/>
                <w:szCs w:val="24"/>
              </w:rPr>
              <w:t>补充资料：</w:t>
            </w:r>
          </w:p>
          <w:p>
            <w:pPr>
              <w:snapToGrid w:val="0"/>
              <w:spacing w:line="280" w:lineRule="exact"/>
              <w:jc w:val="left"/>
              <w:rPr>
                <w:rFonts w:ascii="Times New Roman" w:hAnsi="Times New Roman"/>
                <w:bCs/>
                <w:sz w:val="18"/>
                <w:szCs w:val="24"/>
              </w:rPr>
            </w:pPr>
            <w:r>
              <w:rPr>
                <w:rFonts w:ascii="Times New Roman" w:hAnsi="Times New Roman"/>
                <w:bCs/>
                <w:sz w:val="18"/>
                <w:szCs w:val="24"/>
              </w:rPr>
              <w:t>综合填报单位地址：</w:t>
            </w:r>
            <w:r>
              <w:rPr>
                <w:rFonts w:hint="eastAsia" w:ascii="Times New Roman" w:hAnsi="Times New Roman"/>
                <w:bCs/>
                <w:sz w:val="18"/>
                <w:szCs w:val="24"/>
              </w:rPr>
              <w:t xml:space="preserve"> </w:t>
            </w:r>
            <w:r>
              <w:rPr>
                <w:rFonts w:ascii="Times New Roman" w:hAnsi="Times New Roman"/>
                <w:bCs/>
                <w:sz w:val="18"/>
                <w:szCs w:val="24"/>
              </w:rPr>
              <w:t xml:space="preserve">                                       邮编：</w:t>
            </w:r>
            <w:r>
              <w:rPr>
                <w:rFonts w:asciiTheme="minorEastAsia" w:hAnsiTheme="minorEastAsia" w:eastAsiaTheme="minorEastAsia"/>
                <w:bCs/>
                <w:sz w:val="18"/>
                <w:szCs w:val="24"/>
              </w:rPr>
              <w:t>□□□□□□</w:t>
            </w:r>
          </w:p>
          <w:p>
            <w:pPr>
              <w:snapToGrid w:val="0"/>
              <w:spacing w:line="280" w:lineRule="exact"/>
              <w:jc w:val="left"/>
              <w:rPr>
                <w:rFonts w:ascii="Times New Roman" w:hAnsi="Times New Roman"/>
                <w:bCs/>
                <w:sz w:val="18"/>
                <w:szCs w:val="24"/>
              </w:rPr>
            </w:pPr>
            <w:r>
              <w:rPr>
                <w:rFonts w:ascii="Times New Roman" w:hAnsi="Times New Roman"/>
                <w:bCs/>
                <w:sz w:val="18"/>
                <w:szCs w:val="24"/>
              </w:rPr>
              <w:t>联系电话：</w:t>
            </w:r>
            <w:r>
              <w:rPr>
                <w:rFonts w:hint="eastAsia" w:ascii="Times New Roman" w:hAnsi="Times New Roman"/>
                <w:bCs/>
                <w:sz w:val="18"/>
                <w:szCs w:val="24"/>
              </w:rPr>
              <w:t xml:space="preserve"> </w:t>
            </w:r>
            <w:r>
              <w:rPr>
                <w:rFonts w:ascii="Times New Roman" w:hAnsi="Times New Roman"/>
                <w:bCs/>
                <w:sz w:val="18"/>
                <w:szCs w:val="24"/>
              </w:rPr>
              <w:t xml:space="preserve">                                               传真：</w:t>
            </w:r>
          </w:p>
        </w:tc>
      </w:tr>
    </w:tbl>
    <w:p>
      <w:pPr>
        <w:snapToGrid w:val="0"/>
        <w:spacing w:line="280" w:lineRule="exact"/>
        <w:jc w:val="left"/>
        <w:rPr>
          <w:rFonts w:ascii="Times New Roman" w:hAnsi="Times New Roman"/>
          <w:bCs/>
          <w:sz w:val="18"/>
          <w:szCs w:val="20"/>
        </w:rPr>
      </w:pPr>
      <w:r>
        <w:rPr>
          <w:rFonts w:ascii="Times New Roman" w:hAnsi="Times New Roman"/>
          <w:bCs/>
          <w:sz w:val="18"/>
          <w:szCs w:val="20"/>
        </w:rPr>
        <w:t>单位负责人：</w:t>
      </w:r>
      <w:r>
        <w:rPr>
          <w:rFonts w:hint="eastAsia" w:ascii="Times New Roman" w:hAnsi="Times New Roman"/>
          <w:bCs/>
          <w:sz w:val="18"/>
          <w:szCs w:val="20"/>
          <w:u w:val="single"/>
        </w:rPr>
        <w:t xml:space="preserve"> </w:t>
      </w:r>
      <w:r>
        <w:rPr>
          <w:rFonts w:ascii="Times New Roman" w:hAnsi="Times New Roman"/>
          <w:bCs/>
          <w:sz w:val="18"/>
          <w:szCs w:val="20"/>
          <w:u w:val="single"/>
        </w:rPr>
        <w:t xml:space="preserve">                   </w:t>
      </w:r>
      <w:r>
        <w:rPr>
          <w:rFonts w:ascii="Times New Roman" w:hAnsi="Times New Roman"/>
          <w:bCs/>
          <w:sz w:val="18"/>
          <w:szCs w:val="20"/>
        </w:rPr>
        <w:t xml:space="preserve">    填表人:</w:t>
      </w:r>
      <w:r>
        <w:rPr>
          <w:rFonts w:ascii="Times New Roman" w:hAnsi="Times New Roman"/>
          <w:bCs/>
          <w:sz w:val="18"/>
          <w:szCs w:val="20"/>
          <w:u w:val="single"/>
        </w:rPr>
        <w:t xml:space="preserve">                      </w:t>
      </w:r>
      <w:r>
        <w:rPr>
          <w:rFonts w:ascii="Times New Roman" w:hAnsi="Times New Roman"/>
          <w:bCs/>
          <w:sz w:val="18"/>
          <w:szCs w:val="20"/>
        </w:rPr>
        <w:t xml:space="preserve">     报出日期:20</w:t>
      </w:r>
      <w:r>
        <w:rPr>
          <w:rFonts w:ascii="Times New Roman" w:hAnsi="Times New Roman"/>
          <w:bCs/>
          <w:sz w:val="18"/>
          <w:szCs w:val="20"/>
          <w:u w:val="single"/>
        </w:rPr>
        <w:t xml:space="preserve">  </w:t>
      </w:r>
      <w:r>
        <w:rPr>
          <w:rFonts w:ascii="Times New Roman" w:hAnsi="Times New Roman"/>
          <w:bCs/>
          <w:sz w:val="18"/>
          <w:szCs w:val="20"/>
        </w:rPr>
        <w:t>年</w:t>
      </w:r>
      <w:r>
        <w:rPr>
          <w:rFonts w:hint="eastAsia" w:ascii="Times New Roman" w:hAnsi="Times New Roman"/>
          <w:bCs/>
          <w:sz w:val="18"/>
          <w:szCs w:val="20"/>
          <w:u w:val="single"/>
        </w:rPr>
        <w:t xml:space="preserve"> </w:t>
      </w:r>
      <w:r>
        <w:rPr>
          <w:rFonts w:ascii="Times New Roman" w:hAnsi="Times New Roman"/>
          <w:bCs/>
          <w:sz w:val="18"/>
          <w:szCs w:val="20"/>
          <w:u w:val="single"/>
        </w:rPr>
        <w:t xml:space="preserve"> </w:t>
      </w:r>
      <w:r>
        <w:rPr>
          <w:rFonts w:ascii="Times New Roman" w:hAnsi="Times New Roman"/>
          <w:bCs/>
          <w:sz w:val="18"/>
          <w:szCs w:val="20"/>
        </w:rPr>
        <w:t>月</w:t>
      </w:r>
      <w:r>
        <w:rPr>
          <w:rFonts w:hint="eastAsia" w:ascii="Times New Roman" w:hAnsi="Times New Roman"/>
          <w:bCs/>
          <w:sz w:val="18"/>
          <w:szCs w:val="20"/>
          <w:u w:val="single"/>
        </w:rPr>
        <w:t xml:space="preserve"> </w:t>
      </w:r>
      <w:r>
        <w:rPr>
          <w:rFonts w:ascii="Times New Roman" w:hAnsi="Times New Roman"/>
          <w:bCs/>
          <w:sz w:val="18"/>
          <w:szCs w:val="20"/>
          <w:u w:val="single"/>
        </w:rPr>
        <w:t xml:space="preserve"> </w:t>
      </w:r>
      <w:r>
        <w:rPr>
          <w:rFonts w:ascii="Times New Roman" w:hAnsi="Times New Roman"/>
          <w:bCs/>
          <w:sz w:val="18"/>
          <w:szCs w:val="20"/>
        </w:rPr>
        <w:t>日</w:t>
      </w:r>
    </w:p>
    <w:p>
      <w:pPr>
        <w:rPr>
          <w:rFonts w:ascii="Times New Roman" w:hAnsi="Times New Roman"/>
          <w:bCs/>
          <w:szCs w:val="21"/>
        </w:rPr>
      </w:pPr>
      <w:r>
        <w:rPr>
          <w:rFonts w:hint="eastAsia" w:ascii="Times New Roman" w:hAnsi="Times New Roman"/>
          <w:bCs/>
          <w:szCs w:val="21"/>
        </w:rPr>
        <w:t xml:space="preserve"> </w:t>
      </w:r>
    </w:p>
    <w:p>
      <w:pPr>
        <w:spacing w:line="280" w:lineRule="exact"/>
        <w:rPr>
          <w:rFonts w:cstheme="minorHAnsi"/>
          <w:bCs/>
          <w:kern w:val="0"/>
          <w:sz w:val="18"/>
          <w:szCs w:val="18"/>
        </w:rPr>
      </w:pPr>
      <w:r>
        <w:rPr>
          <w:rFonts w:ascii="Times New Roman" w:hAnsi="Times New Roman"/>
          <w:bCs/>
          <w:sz w:val="18"/>
          <w:szCs w:val="24"/>
        </w:rPr>
        <w:t>说</w:t>
      </w:r>
      <w:r>
        <w:rPr>
          <w:bCs/>
          <w:sz w:val="18"/>
          <w:szCs w:val="24"/>
        </w:rPr>
        <w:t>明</w:t>
      </w:r>
      <w:r>
        <w:rPr>
          <w:rFonts w:cstheme="minorHAnsi"/>
          <w:bCs/>
          <w:sz w:val="18"/>
          <w:szCs w:val="24"/>
        </w:rPr>
        <w:t>：</w:t>
      </w:r>
      <w:r>
        <w:rPr>
          <w:rFonts w:cstheme="minorHAnsi"/>
          <w:bCs/>
          <w:kern w:val="0"/>
          <w:sz w:val="18"/>
          <w:szCs w:val="18"/>
        </w:rPr>
        <w:t>1.本表为年报，填报每年1月1日至12月31日情况。</w:t>
      </w:r>
    </w:p>
    <w:p>
      <w:pPr>
        <w:adjustRightInd w:val="0"/>
        <w:spacing w:line="280" w:lineRule="exact"/>
        <w:ind w:left="525" w:leftChars="250"/>
        <w:rPr>
          <w:rFonts w:cstheme="minorHAnsi"/>
          <w:bCs/>
          <w:sz w:val="18"/>
          <w:szCs w:val="24"/>
        </w:rPr>
      </w:pPr>
      <w:r>
        <w:rPr>
          <w:rFonts w:cstheme="minorHAnsi"/>
          <w:bCs/>
          <w:kern w:val="0"/>
          <w:sz w:val="18"/>
          <w:szCs w:val="18"/>
        </w:rPr>
        <w:t>2.填报范围：各省、自治区、直辖市、科技厅（委、局）报送</w:t>
      </w:r>
      <w:r>
        <w:rPr>
          <w:rFonts w:cstheme="minorHAnsi"/>
          <w:bCs/>
          <w:sz w:val="18"/>
          <w:szCs w:val="24"/>
        </w:rPr>
        <w:t>经各地方高新技术企业认定管理机构认定，</w:t>
      </w:r>
      <w:r>
        <w:rPr>
          <w:rFonts w:cstheme="minorHAnsi"/>
          <w:bCs/>
          <w:kern w:val="0"/>
          <w:sz w:val="18"/>
          <w:szCs w:val="18"/>
        </w:rPr>
        <w:t>并经全国高新技术企业认定管理工作领导小组备案，获得高新技术企业证书，且证书于报告期年底尚在有效期内的企业综合情况。</w:t>
      </w:r>
    </w:p>
    <w:p>
      <w:pPr>
        <w:adjustRightInd w:val="0"/>
        <w:spacing w:line="280" w:lineRule="exact"/>
        <w:ind w:left="525" w:leftChars="250"/>
        <w:rPr>
          <w:rFonts w:cstheme="minorHAnsi"/>
          <w:bCs/>
          <w:sz w:val="18"/>
          <w:szCs w:val="24"/>
        </w:rPr>
      </w:pPr>
      <w:r>
        <w:rPr>
          <w:rFonts w:cstheme="minorHAnsi"/>
          <w:bCs/>
          <w:kern w:val="0"/>
          <w:sz w:val="18"/>
          <w:szCs w:val="21"/>
        </w:rPr>
        <w:t>3.</w:t>
      </w:r>
      <w:r>
        <w:rPr>
          <w:rFonts w:cstheme="minorHAnsi"/>
          <w:bCs/>
          <w:sz w:val="18"/>
          <w:szCs w:val="24"/>
        </w:rPr>
        <w:t>报送日期及方式：本表请各科技厅（委、局）务必于报告期次年</w:t>
      </w:r>
      <w:r>
        <w:rPr>
          <w:rFonts w:hint="eastAsia" w:cstheme="minorHAnsi"/>
          <w:bCs/>
          <w:sz w:val="18"/>
          <w:szCs w:val="24"/>
          <w:lang w:val="en-US" w:eastAsia="zh-CN"/>
        </w:rPr>
        <w:t>1</w:t>
      </w:r>
      <w:r>
        <w:rPr>
          <w:rFonts w:cstheme="minorHAnsi"/>
          <w:bCs/>
          <w:sz w:val="18"/>
          <w:szCs w:val="24"/>
        </w:rPr>
        <w:t>月</w:t>
      </w:r>
      <w:r>
        <w:rPr>
          <w:rFonts w:hint="eastAsia" w:cstheme="minorHAnsi"/>
          <w:bCs/>
          <w:sz w:val="18"/>
          <w:szCs w:val="24"/>
          <w:lang w:val="en-US" w:eastAsia="zh-CN"/>
        </w:rPr>
        <w:t>25</w:t>
      </w:r>
      <w:r>
        <w:rPr>
          <w:rFonts w:cstheme="minorHAnsi"/>
          <w:bCs/>
          <w:sz w:val="18"/>
          <w:szCs w:val="24"/>
        </w:rPr>
        <w:t>日前将审核过的报表通过</w:t>
      </w:r>
      <w:r>
        <w:rPr>
          <w:rFonts w:cstheme="minorHAnsi"/>
          <w:bCs/>
          <w:kern w:val="0"/>
          <w:sz w:val="18"/>
          <w:szCs w:val="21"/>
        </w:rPr>
        <w:t>科技部火炬统计调查信息系统填报</w:t>
      </w:r>
      <w:r>
        <w:rPr>
          <w:rFonts w:cstheme="minorHAnsi"/>
          <w:bCs/>
          <w:sz w:val="18"/>
          <w:szCs w:val="24"/>
        </w:rPr>
        <w:t>，同时将领导签字盖章的纸件作为附件上传。</w:t>
      </w:r>
    </w:p>
    <w:p>
      <w:pPr>
        <w:adjustRightInd w:val="0"/>
        <w:spacing w:line="280" w:lineRule="exact"/>
        <w:ind w:left="525" w:leftChars="250"/>
        <w:rPr>
          <w:rFonts w:hint="default" w:eastAsia="宋体" w:cstheme="minorHAnsi"/>
          <w:bCs/>
          <w:sz w:val="18"/>
          <w:szCs w:val="24"/>
          <w:lang w:val="en-US" w:eastAsia="zh-CN"/>
        </w:rPr>
      </w:pPr>
      <w:r>
        <w:rPr>
          <w:rFonts w:cstheme="minorHAnsi"/>
          <w:bCs/>
          <w:sz w:val="18"/>
          <w:szCs w:val="24"/>
        </w:rPr>
        <w:t>4.审核</w:t>
      </w:r>
      <w:r>
        <w:rPr>
          <w:rFonts w:cstheme="minorHAnsi"/>
          <w:bCs/>
          <w:kern w:val="0"/>
          <w:sz w:val="18"/>
          <w:szCs w:val="18"/>
        </w:rPr>
        <w:t>关系：</w:t>
      </w:r>
      <w:r>
        <w:rPr>
          <w:rFonts w:cstheme="minorHAnsi"/>
          <w:bCs/>
          <w:sz w:val="18"/>
          <w:szCs w:val="24"/>
        </w:rPr>
        <w:t>（1）K1A1</w:t>
      </w:r>
      <w:r>
        <w:rPr>
          <w:rFonts w:cstheme="minorHAnsi"/>
          <w:bCs/>
          <w:sz w:val="18"/>
          <w:szCs w:val="18"/>
        </w:rPr>
        <w:t>_0</w:t>
      </w:r>
      <w:r>
        <w:rPr>
          <w:rFonts w:cstheme="minorHAnsi"/>
          <w:bCs/>
          <w:sz w:val="18"/>
          <w:szCs w:val="24"/>
        </w:rPr>
        <w:t>&gt;</w:t>
      </w:r>
      <w:r>
        <w:rPr>
          <w:rFonts w:cstheme="minorHAnsi"/>
          <w:bCs/>
          <w:kern w:val="0"/>
          <w:sz w:val="18"/>
          <w:szCs w:val="18"/>
        </w:rPr>
        <w:t>K1A2</w:t>
      </w:r>
      <w:r>
        <w:rPr>
          <w:rFonts w:cstheme="minorHAnsi"/>
          <w:bCs/>
          <w:sz w:val="18"/>
          <w:szCs w:val="24"/>
        </w:rPr>
        <w:t>（2）K1C1&gt;=K1C2（3）K2E&gt;=K1E(4)K1G&gt;KH</w:t>
      </w:r>
      <w:r>
        <w:rPr>
          <w:rFonts w:hint="eastAsia" w:cstheme="minorHAnsi"/>
          <w:bCs/>
          <w:sz w:val="18"/>
          <w:szCs w:val="24"/>
          <w:lang w:val="en-US" w:eastAsia="zh-CN"/>
        </w:rPr>
        <w:t>+KJ</w:t>
      </w:r>
    </w:p>
    <w:p>
      <w:pPr>
        <w:rPr>
          <w:rFonts w:ascii="Times New Roman" w:hAnsi="Times New Roman"/>
          <w:bCs/>
        </w:rPr>
      </w:pPr>
    </w:p>
    <w:p>
      <w:pPr>
        <w:tabs>
          <w:tab w:val="left" w:pos="753"/>
        </w:tabs>
        <w:spacing w:line="400" w:lineRule="exact"/>
        <w:jc w:val="center"/>
        <w:rPr>
          <w:rFonts w:ascii="Times New Roman" w:hAnsi="Times New Roman"/>
          <w:b/>
          <w:sz w:val="32"/>
          <w:szCs w:val="32"/>
        </w:rPr>
      </w:pPr>
      <w:r>
        <w:rPr>
          <w:rFonts w:ascii="Times New Roman" w:hAnsi="Times New Roman"/>
          <w:color w:val="FF0000"/>
          <w:sz w:val="28"/>
          <w:szCs w:val="28"/>
        </w:rPr>
        <w:br w:type="page"/>
      </w:r>
      <w:r>
        <w:rPr>
          <w:rFonts w:ascii="Times New Roman" w:hAnsi="Times New Roman"/>
          <w:b/>
          <w:sz w:val="32"/>
          <w:szCs w:val="32"/>
        </w:rPr>
        <w:t>指标解释</w:t>
      </w:r>
    </w:p>
    <w:p>
      <w:pPr>
        <w:pStyle w:val="2"/>
        <w:rPr>
          <w:rFonts w:ascii="Times New Roman" w:hAnsi="Times New Roman"/>
        </w:rPr>
      </w:pPr>
    </w:p>
    <w:p>
      <w:pPr>
        <w:spacing w:line="400" w:lineRule="exact"/>
        <w:ind w:firstLine="420" w:firstLineChars="200"/>
        <w:rPr>
          <w:rFonts w:ascii="Times New Roman" w:hAnsi="Times New Roman"/>
          <w:bCs/>
          <w:szCs w:val="21"/>
        </w:rPr>
      </w:pPr>
      <w:r>
        <w:rPr>
          <w:rFonts w:ascii="Times New Roman" w:hAnsi="Times New Roman" w:eastAsia="黑体"/>
          <w:bCs/>
          <w:szCs w:val="21"/>
        </w:rPr>
        <w:t>高新技术企业</w:t>
      </w:r>
      <w:r>
        <w:rPr>
          <w:rFonts w:hint="eastAsia"/>
          <w:bCs/>
        </w:rPr>
        <w:t>指经省、自治区、直辖市、计划单列市高新技术企业认定管理机构认定，并经全国高新技术企业认定管理工作领导小组备案，获得高新技术企业证书，且证书于报告期年底尚在有效期内的企业。</w:t>
      </w:r>
    </w:p>
    <w:p>
      <w:pPr>
        <w:spacing w:line="400" w:lineRule="exact"/>
        <w:ind w:firstLine="420" w:firstLineChars="200"/>
        <w:rPr>
          <w:rFonts w:ascii="Times New Roman" w:hAnsi="Times New Roman"/>
          <w:bCs/>
          <w:szCs w:val="21"/>
        </w:rPr>
      </w:pPr>
      <w:r>
        <w:rPr>
          <w:rFonts w:ascii="Times New Roman" w:hAnsi="Times New Roman" w:eastAsia="黑体"/>
          <w:bCs/>
          <w:szCs w:val="21"/>
        </w:rPr>
        <w:t>年末从业人员</w:t>
      </w:r>
      <w:r>
        <w:rPr>
          <w:rFonts w:ascii="Times New Roman" w:hAnsi="Times New Roman"/>
          <w:bCs/>
          <w:szCs w:val="21"/>
        </w:rPr>
        <w:t>指期末最后一日24时在本单位中工作，并取得工资或其他形式劳动报酬的人员数。该指标为时点指标，不包括最后一日当天及以前已经与单位解除劳动合同关系的人员，是在岗职工、劳务派遣人员及其他从业人员之和。从业人员不包括：</w:t>
      </w:r>
    </w:p>
    <w:p>
      <w:pPr>
        <w:spacing w:line="400" w:lineRule="exact"/>
        <w:ind w:firstLine="420" w:firstLineChars="200"/>
        <w:rPr>
          <w:rFonts w:ascii="Times New Roman" w:hAnsi="Times New Roman"/>
          <w:bCs/>
          <w:szCs w:val="21"/>
        </w:rPr>
      </w:pPr>
      <w:r>
        <w:rPr>
          <w:rFonts w:ascii="Times New Roman" w:hAnsi="Times New Roman"/>
          <w:bCs/>
          <w:szCs w:val="21"/>
        </w:rPr>
        <w:t>（1）离开本单位仍保留劳动关系，并定期领取生活费的人员；</w:t>
      </w:r>
    </w:p>
    <w:p>
      <w:pPr>
        <w:spacing w:line="400" w:lineRule="exact"/>
        <w:ind w:firstLine="420" w:firstLineChars="200"/>
        <w:rPr>
          <w:rFonts w:ascii="Times New Roman" w:hAnsi="Times New Roman"/>
          <w:bCs/>
          <w:szCs w:val="21"/>
        </w:rPr>
      </w:pPr>
      <w:r>
        <w:rPr>
          <w:rFonts w:ascii="Times New Roman" w:hAnsi="Times New Roman"/>
          <w:bCs/>
          <w:szCs w:val="21"/>
        </w:rPr>
        <w:t>（2）利用课余时间打工的学生及在本单位实习的各类在校学生；</w:t>
      </w:r>
    </w:p>
    <w:p>
      <w:pPr>
        <w:spacing w:line="400" w:lineRule="exact"/>
        <w:ind w:firstLine="420" w:firstLineChars="200"/>
        <w:rPr>
          <w:rFonts w:ascii="Times New Roman" w:hAnsi="Times New Roman"/>
          <w:bCs/>
          <w:szCs w:val="21"/>
        </w:rPr>
      </w:pPr>
      <w:r>
        <w:rPr>
          <w:rFonts w:ascii="Times New Roman" w:hAnsi="Times New Roman"/>
          <w:bCs/>
          <w:szCs w:val="21"/>
        </w:rPr>
        <w:t>（3）本单位因劳务外包而使用的人员，如：建筑业整建制使用的人员。</w:t>
      </w:r>
    </w:p>
    <w:p>
      <w:pPr>
        <w:spacing w:line="400" w:lineRule="exact"/>
        <w:ind w:firstLine="420" w:firstLineChars="200"/>
        <w:rPr>
          <w:rFonts w:ascii="Times New Roman" w:hAnsi="Times New Roman"/>
          <w:bCs/>
          <w:szCs w:val="21"/>
        </w:rPr>
      </w:pPr>
      <w:r>
        <w:rPr>
          <w:rFonts w:ascii="Times New Roman" w:hAnsi="Times New Roman" w:eastAsia="黑体"/>
          <w:bCs/>
          <w:szCs w:val="21"/>
        </w:rPr>
        <w:t>工业增加值</w:t>
      </w:r>
      <w:r>
        <w:rPr>
          <w:rFonts w:ascii="Times New Roman" w:hAnsi="Times New Roman"/>
          <w:bCs/>
          <w:szCs w:val="21"/>
        </w:rPr>
        <w:t>是指工业企业在报告期内以货币形式表现的工业生产活动的最终成果;是工业企业全部生产活动的总成果扣除了在生产过程中消耗或转移的物质产品和劳务价值后的余额;是工业企业生产过程中新增加的价值。工业增加值有两种核算方法：</w:t>
      </w:r>
    </w:p>
    <w:p>
      <w:pPr>
        <w:pStyle w:val="2"/>
        <w:spacing w:after="0" w:line="400" w:lineRule="exact"/>
        <w:ind w:firstLine="420" w:firstLineChars="200"/>
        <w:rPr>
          <w:rFonts w:ascii="Times New Roman" w:hAnsi="Times New Roman"/>
          <w:szCs w:val="21"/>
        </w:rPr>
      </w:pPr>
      <w:r>
        <w:rPr>
          <w:rFonts w:ascii="Times New Roman" w:hAnsi="Times New Roman"/>
          <w:szCs w:val="21"/>
        </w:rPr>
        <w:t>一是生产法，即工业总产出减去工业中间投入；</w:t>
      </w:r>
    </w:p>
    <w:p>
      <w:pPr>
        <w:pStyle w:val="2"/>
        <w:spacing w:after="0" w:line="400" w:lineRule="exact"/>
        <w:ind w:firstLine="420" w:firstLineChars="200"/>
        <w:rPr>
          <w:rFonts w:ascii="Times New Roman" w:hAnsi="Times New Roman"/>
          <w:szCs w:val="21"/>
        </w:rPr>
      </w:pPr>
      <w:r>
        <w:rPr>
          <w:rFonts w:ascii="Times New Roman" w:hAnsi="Times New Roman"/>
          <w:szCs w:val="21"/>
        </w:rPr>
        <w:t>二是收入法，即从收入的角度出发，根据生产要素在生产过程中应得到的收入份额</w:t>
      </w:r>
      <w:r>
        <w:rPr>
          <w:rFonts w:ascii="Times New Roman" w:hAnsi="Times New Roman"/>
          <w:bCs/>
          <w:szCs w:val="24"/>
        </w:rPr>
        <w:t>核算</w:t>
      </w:r>
      <w:r>
        <w:rPr>
          <w:rFonts w:ascii="Times New Roman" w:hAnsi="Times New Roman"/>
          <w:szCs w:val="21"/>
        </w:rPr>
        <w:t>，具体构成项目有固定资产折旧、劳动者报酬、生产税净额、营业盈余，这种方法也称要素分配法。</w:t>
      </w:r>
    </w:p>
    <w:p>
      <w:pPr>
        <w:pStyle w:val="2"/>
        <w:spacing w:after="0" w:line="400" w:lineRule="exact"/>
        <w:ind w:firstLine="420" w:firstLineChars="200"/>
        <w:rPr>
          <w:rFonts w:ascii="Times New Roman" w:hAnsi="Times New Roman"/>
          <w:szCs w:val="21"/>
        </w:rPr>
      </w:pPr>
      <w:r>
        <w:rPr>
          <w:rFonts w:ascii="Times New Roman" w:hAnsi="Times New Roman"/>
          <w:szCs w:val="21"/>
        </w:rPr>
        <w:t>（1）生产法：工业增加值=工业总产出—工业中间投入+应缴增值税</w:t>
      </w:r>
    </w:p>
    <w:p>
      <w:pPr>
        <w:pStyle w:val="2"/>
        <w:spacing w:after="0" w:line="400" w:lineRule="exact"/>
        <w:ind w:firstLine="420" w:firstLineChars="200"/>
        <w:rPr>
          <w:rFonts w:ascii="Times New Roman" w:hAnsi="Times New Roman"/>
        </w:rPr>
      </w:pPr>
      <w:r>
        <w:rPr>
          <w:rFonts w:ascii="Times New Roman" w:hAnsi="Times New Roman"/>
          <w:szCs w:val="21"/>
        </w:rPr>
        <w:t>（2）收入法（分配法）：工业增加值=固定资产折旧+劳动者报酬+生产税净额+营业盈余</w:t>
      </w:r>
    </w:p>
    <w:p>
      <w:pPr>
        <w:spacing w:line="400" w:lineRule="exact"/>
        <w:ind w:firstLine="420" w:firstLineChars="200"/>
        <w:rPr>
          <w:rFonts w:ascii="Times New Roman" w:hAnsi="Times New Roman"/>
          <w:bCs/>
          <w:szCs w:val="21"/>
        </w:rPr>
      </w:pPr>
      <w:r>
        <w:rPr>
          <w:rFonts w:ascii="Times New Roman" w:hAnsi="Times New Roman" w:eastAsia="黑体"/>
          <w:bCs/>
          <w:szCs w:val="21"/>
        </w:rPr>
        <w:t>工业总产值</w:t>
      </w:r>
      <w:r>
        <w:rPr>
          <w:rFonts w:ascii="Times New Roman" w:hAnsi="Times New Roman"/>
          <w:bCs/>
          <w:szCs w:val="21"/>
        </w:rPr>
        <w:t>指工业企业在报告期内生产的以货币形式表现的工业最终产品和提供工业劳务活动的总价值量。</w:t>
      </w:r>
    </w:p>
    <w:p>
      <w:pPr>
        <w:spacing w:line="400" w:lineRule="exact"/>
        <w:ind w:firstLine="420" w:firstLineChars="200"/>
        <w:rPr>
          <w:rFonts w:ascii="Times New Roman" w:hAnsi="Times New Roman"/>
          <w:bCs/>
          <w:szCs w:val="21"/>
        </w:rPr>
      </w:pPr>
      <w:r>
        <w:rPr>
          <w:rFonts w:ascii="Times New Roman" w:hAnsi="Times New Roman" w:eastAsia="黑体"/>
          <w:bCs/>
          <w:szCs w:val="21"/>
        </w:rPr>
        <w:t>营业收入</w:t>
      </w:r>
      <w:r>
        <w:rPr>
          <w:rFonts w:hint="eastAsia"/>
          <w:bCs/>
          <w:szCs w:val="21"/>
        </w:rPr>
        <w:t>指企业经营主要业务和其他业务所确认的收入总额，包括“主营业务收入”和“其他业务收入”。根据会计“利润表”中“营业收入”项目的本期金额数填报。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利润总额</w:t>
      </w:r>
      <w:r>
        <w:rPr>
          <w:rFonts w:ascii="Times New Roman" w:hAnsi="Times New Roman"/>
          <w:bCs/>
          <w:szCs w:val="21"/>
        </w:rPr>
        <w:t>指企业在一定会计期间的经营成果，是生产经营过程中各种收入扣除各种耗费后的盈余，反映企业在报告期内实现的盈亏总额。利润总额为营业利润加上营业外收入，减去营业外支出后的金额，根据会计“利润表”中“利润总额”项目的本年累计数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净利润</w:t>
      </w:r>
      <w:r>
        <w:rPr>
          <w:rFonts w:ascii="Times New Roman" w:hAnsi="Times New Roman"/>
          <w:bCs/>
          <w:szCs w:val="21"/>
        </w:rPr>
        <w:t>指企业实现的利润在上交国家所得税后的剩余部分。按会计“损益表”中“净利润”项的本年累计数填列。</w:t>
      </w:r>
    </w:p>
    <w:p>
      <w:pPr>
        <w:spacing w:line="400" w:lineRule="exact"/>
        <w:ind w:firstLine="420" w:firstLineChars="200"/>
        <w:rPr>
          <w:rFonts w:ascii="Times New Roman" w:hAnsi="Times New Roman"/>
          <w:bCs/>
          <w:szCs w:val="21"/>
        </w:rPr>
      </w:pPr>
      <w:r>
        <w:rPr>
          <w:rFonts w:ascii="Times New Roman" w:hAnsi="Times New Roman" w:eastAsia="黑体"/>
          <w:bCs/>
          <w:szCs w:val="21"/>
        </w:rPr>
        <w:t>实际上缴税费总额</w:t>
      </w:r>
      <w:r>
        <w:rPr>
          <w:rFonts w:ascii="Times New Roman" w:hAnsi="Times New Roman"/>
          <w:bCs/>
          <w:szCs w:val="21"/>
        </w:rPr>
        <w:t>指企业在报告期内实际上缴的各项税金、特种基金和附加费等。按当年实际发生额填报。</w:t>
      </w:r>
    </w:p>
    <w:p>
      <w:pPr>
        <w:spacing w:line="400" w:lineRule="exact"/>
        <w:ind w:firstLine="420" w:firstLineChars="200"/>
        <w:rPr>
          <w:rFonts w:ascii="Times New Roman" w:hAnsi="Times New Roman"/>
          <w:bCs/>
          <w:szCs w:val="21"/>
        </w:rPr>
      </w:pPr>
      <w:r>
        <w:rPr>
          <w:rFonts w:ascii="Times New Roman" w:hAnsi="Times New Roman" w:eastAsia="黑体"/>
          <w:bCs/>
          <w:szCs w:val="21"/>
        </w:rPr>
        <w:t>实际减免税总额</w:t>
      </w:r>
      <w:r>
        <w:rPr>
          <w:rFonts w:ascii="Times New Roman" w:hAnsi="Times New Roman"/>
          <w:bCs/>
          <w:szCs w:val="21"/>
        </w:rPr>
        <w:t>指报告期内企业根据国家或地方政府有关政策，实际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w:t>
      </w:r>
    </w:p>
    <w:p>
      <w:pPr>
        <w:spacing w:line="400" w:lineRule="exact"/>
        <w:ind w:firstLine="420" w:firstLineChars="200"/>
        <w:rPr>
          <w:rFonts w:ascii="Times New Roman" w:hAnsi="Times New Roman"/>
          <w:bCs/>
          <w:szCs w:val="21"/>
        </w:rPr>
      </w:pPr>
      <w:r>
        <w:rPr>
          <w:rFonts w:ascii="Times New Roman" w:hAnsi="Times New Roman" w:eastAsia="黑体"/>
          <w:bCs/>
          <w:szCs w:val="21"/>
        </w:rPr>
        <w:t>享受高新技术企业所得税减免</w:t>
      </w:r>
      <w:r>
        <w:rPr>
          <w:rFonts w:ascii="Times New Roman" w:hAnsi="Times New Roman"/>
          <w:bCs/>
          <w:szCs w:val="21"/>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spacing w:line="400" w:lineRule="exact"/>
        <w:ind w:firstLine="420" w:firstLineChars="200"/>
        <w:rPr>
          <w:rFonts w:ascii="Times New Roman" w:hAnsi="Times New Roman"/>
          <w:bCs/>
          <w:szCs w:val="21"/>
        </w:rPr>
      </w:pPr>
      <w:r>
        <w:rPr>
          <w:rFonts w:hint="eastAsia" w:ascii="Times New Roman" w:hAnsi="Times New Roman" w:eastAsia="黑体"/>
          <w:bCs/>
          <w:szCs w:val="21"/>
        </w:rPr>
        <w:t>享受先进制造业企业增值税加计抵减额</w:t>
      </w:r>
      <w:r>
        <w:rPr>
          <w:rFonts w:hint="default" w:ascii="Times New Roman" w:hAnsi="Times New Roman" w:eastAsia="宋体"/>
          <w:bCs/>
          <w:szCs w:val="21"/>
        </w:rPr>
        <w:t>指报告期内高新技术企业按照《财政部 税务总局关于先进制造业企业增值税加计抵减政策的公告》（财政部税务总局公告〔2023〕43号）、《工业和信息化部办公厅关于2023年度享受增值税加计抵减政策的先进制造业企业名单制定工作有关事项的通知》（工信厅财函 ﹝2023﹞ 267号）及相关政策依法享受的增值税加计抵减额，按填报期当年税务部门实际抵减的税额填报。如本年实际发生的抵减额为零，即填0。</w:t>
      </w:r>
    </w:p>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BiNzlkMjdhMTYwMzg3YWZhOGY4OTU1NzBjMzRlYzgifQ=="/>
  </w:docVars>
  <w:rsids>
    <w:rsidRoot w:val="00DF7CB9"/>
    <w:rsid w:val="00A73A9E"/>
    <w:rsid w:val="00C02368"/>
    <w:rsid w:val="00DF7CB9"/>
    <w:rsid w:val="18894061"/>
    <w:rsid w:val="432B7DF5"/>
    <w:rsid w:val="76770E0C"/>
    <w:rsid w:val="7DCF4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5"/>
    <w:unhideWhenUsed/>
    <w:qFormat/>
    <w:uiPriority w:val="0"/>
    <w:pPr>
      <w:spacing w:after="120"/>
    </w:pPr>
  </w:style>
  <w:style w:type="character" w:customStyle="1" w:styleId="5">
    <w:name w:val="正文文本 字符"/>
    <w:basedOn w:val="4"/>
    <w:link w:val="2"/>
    <w:qFormat/>
    <w:uiPriority w:val="0"/>
    <w:rPr>
      <w:rFonts w:ascii="Calibri" w:hAnsi="Calibri" w:eastAsia="宋体" w:cs="Times New Roman"/>
    </w:rPr>
  </w:style>
  <w:style w:type="paragraph" w:customStyle="1" w:styleId="6">
    <w:name w:val="Table Paragraph"/>
    <w:basedOn w:val="1"/>
    <w:qFormat/>
    <w:uiPriority w:val="0"/>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332</Words>
  <Characters>1893</Characters>
  <Lines>15</Lines>
  <Paragraphs>4</Paragraphs>
  <TotalTime>163</TotalTime>
  <ScaleCrop>false</ScaleCrop>
  <LinksUpToDate>false</LinksUpToDate>
  <CharactersWithSpaces>2221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2022-12-23T00:32:00Z</dcterms:created>
  <dc:creator>Wangcj</dc:creator>
  <cp:lastModifiedBy>Administrator</cp:lastModifiedBy>
  <cp:lastPrinted>2024-01-22T08:38:17Z</cp:lastPrinted>
  <dcterms:modified xsi:type="dcterms:W3CDTF">2024-01-22T08:49:28Z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9DCF08390F094154B4AA6E563FA3885E_13</vt:lpwstr>
  </property>
</Properties>
</file>