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Cs/>
          <w:color w:val="auto"/>
          <w:sz w:val="36"/>
          <w:szCs w:val="36"/>
        </w:rPr>
      </w:pPr>
      <w:r>
        <w:rPr>
          <w:rFonts w:hint="eastAsia" w:ascii="黑体" w:hAnsi="黑体" w:eastAsia="黑体"/>
          <w:bCs/>
          <w:color w:val="auto"/>
          <w:sz w:val="28"/>
          <w:szCs w:val="32"/>
        </w:rPr>
        <w:t>附件1：</w:t>
      </w:r>
    </w:p>
    <w:p>
      <w:pPr>
        <w:jc w:val="center"/>
        <w:rPr>
          <w:rFonts w:ascii="华文中宋" w:hAnsi="华文中宋" w:eastAsia="华文中宋"/>
          <w:b/>
          <w:sz w:val="40"/>
          <w:szCs w:val="36"/>
        </w:rPr>
      </w:pPr>
      <w:r>
        <w:rPr>
          <w:rFonts w:hint="eastAsia" w:ascii="华文中宋" w:hAnsi="华文中宋" w:eastAsia="华文中宋"/>
          <w:b/>
          <w:sz w:val="40"/>
          <w:szCs w:val="36"/>
        </w:rPr>
        <w:t>工业和信息化部中小企业经营管理领军人才</w:t>
      </w:r>
    </w:p>
    <w:p>
      <w:pPr>
        <w:jc w:val="center"/>
        <w:rPr>
          <w:rFonts w:ascii="华文中宋" w:hAnsi="华文中宋" w:eastAsia="华文中宋"/>
          <w:b/>
          <w:sz w:val="40"/>
          <w:szCs w:val="36"/>
        </w:rPr>
      </w:pPr>
      <w:r>
        <w:rPr>
          <w:rFonts w:hint="eastAsia" w:ascii="华文中宋" w:hAnsi="华文中宋" w:eastAsia="华文中宋"/>
          <w:b/>
          <w:sz w:val="40"/>
          <w:szCs w:val="36"/>
        </w:rPr>
        <w:t>区域发展培训</w:t>
      </w:r>
    </w:p>
    <w:p>
      <w:pPr>
        <w:tabs>
          <w:tab w:val="left" w:pos="945"/>
        </w:tabs>
        <w:jc w:val="center"/>
        <w:rPr>
          <w:rFonts w:ascii="黑体" w:eastAsia="黑体"/>
          <w:b/>
          <w:sz w:val="32"/>
          <w:szCs w:val="30"/>
        </w:rPr>
      </w:pPr>
      <w:r>
        <w:rPr>
          <w:rFonts w:ascii="Times New Roman" w:eastAsia="宋体"/>
          <w:sz w:val="24"/>
        </w:rPr>
        <w:drawing>
          <wp:anchor distT="0" distB="0" distL="114300" distR="114300" simplePos="0" relativeHeight="251659264" behindDoc="0" locked="0" layoutInCell="1" allowOverlap="1">
            <wp:simplePos x="0" y="0"/>
            <wp:positionH relativeFrom="column">
              <wp:posOffset>1431925</wp:posOffset>
            </wp:positionH>
            <wp:positionV relativeFrom="paragraph">
              <wp:posOffset>909955</wp:posOffset>
            </wp:positionV>
            <wp:extent cx="2390775" cy="3076575"/>
            <wp:effectExtent l="0" t="0" r="9525" b="9525"/>
            <wp:wrapTopAndBottom/>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2390775" cy="3076575"/>
                    </a:xfrm>
                    <a:prstGeom prst="rect">
                      <a:avLst/>
                    </a:prstGeom>
                    <a:noFill/>
                    <a:ln>
                      <a:noFill/>
                    </a:ln>
                  </pic:spPr>
                </pic:pic>
              </a:graphicData>
            </a:graphic>
          </wp:anchor>
        </w:drawing>
      </w:r>
      <w:r>
        <w:rPr>
          <w:rFonts w:hint="eastAsia" w:ascii="华文中宋" w:hAnsi="华文中宋" w:eastAsia="华文中宋"/>
          <w:b/>
          <w:sz w:val="40"/>
        </w:rPr>
        <w:t>（202</w:t>
      </w:r>
      <w:r>
        <w:rPr>
          <w:rFonts w:hint="eastAsia" w:ascii="华文中宋" w:hAnsi="华文中宋" w:eastAsia="华文中宋"/>
          <w:b/>
          <w:sz w:val="40"/>
          <w:lang w:val="en-US" w:eastAsia="zh-CN"/>
        </w:rPr>
        <w:t>3</w:t>
      </w:r>
      <w:r>
        <w:rPr>
          <w:rFonts w:hint="eastAsia" w:ascii="华文中宋" w:hAnsi="华文中宋" w:eastAsia="华文中宋"/>
          <w:b/>
          <w:sz w:val="40"/>
        </w:rPr>
        <w:t>-</w:t>
      </w:r>
      <w:r>
        <w:rPr>
          <w:rFonts w:ascii="华文中宋" w:hAnsi="华文中宋" w:eastAsia="华文中宋"/>
          <w:b/>
          <w:sz w:val="40"/>
        </w:rPr>
        <w:t>202</w:t>
      </w:r>
      <w:r>
        <w:rPr>
          <w:rFonts w:hint="eastAsia" w:ascii="华文中宋" w:hAnsi="华文中宋" w:eastAsia="华文中宋"/>
          <w:b/>
          <w:sz w:val="40"/>
          <w:lang w:val="en-US" w:eastAsia="zh-CN"/>
        </w:rPr>
        <w:t>4</w:t>
      </w:r>
      <w:r>
        <w:rPr>
          <w:rFonts w:hint="eastAsia" w:ascii="华文中宋" w:hAnsi="华文中宋" w:eastAsia="华文中宋"/>
          <w:b/>
          <w:sz w:val="40"/>
        </w:rPr>
        <w:t>年度）</w:t>
      </w:r>
    </w:p>
    <w:p>
      <w:pPr>
        <w:adjustRightInd w:val="0"/>
        <w:snapToGrid w:val="0"/>
        <w:spacing w:line="360" w:lineRule="auto"/>
        <w:jc w:val="center"/>
        <w:rPr>
          <w:rFonts w:ascii="黑体" w:hAnsi="黑体" w:eastAsia="黑体"/>
          <w:b/>
          <w:snapToGrid w:val="0"/>
          <w:color w:val="auto"/>
          <w:kern w:val="0"/>
          <w:sz w:val="44"/>
          <w:szCs w:val="36"/>
        </w:rPr>
      </w:pPr>
    </w:p>
    <w:p>
      <w:pPr>
        <w:tabs>
          <w:tab w:val="left" w:pos="945"/>
        </w:tabs>
        <w:spacing w:line="520" w:lineRule="exact"/>
        <w:jc w:val="center"/>
        <w:rPr>
          <w:rFonts w:hint="eastAsia" w:ascii="黑体" w:hAnsi="黑体" w:eastAsia="黑体"/>
          <w:b/>
          <w:snapToGrid w:val="0"/>
          <w:color w:val="auto"/>
          <w:kern w:val="0"/>
          <w:sz w:val="44"/>
          <w:szCs w:val="36"/>
        </w:rPr>
      </w:pPr>
      <w:r>
        <w:rPr>
          <w:rFonts w:hint="eastAsia" w:ascii="黑体" w:hAnsi="黑体" w:eastAsia="黑体"/>
          <w:b/>
          <w:snapToGrid w:val="0"/>
          <w:color w:val="auto"/>
          <w:kern w:val="0"/>
          <w:sz w:val="44"/>
          <w:szCs w:val="36"/>
          <w:lang w:eastAsia="zh-CN"/>
        </w:rPr>
        <w:t>北京</w:t>
      </w:r>
      <w:r>
        <w:rPr>
          <w:rFonts w:hint="eastAsia" w:ascii="黑体" w:hAnsi="黑体" w:eastAsia="黑体"/>
          <w:b/>
          <w:snapToGrid w:val="0"/>
          <w:color w:val="auto"/>
          <w:kern w:val="0"/>
          <w:sz w:val="44"/>
          <w:szCs w:val="36"/>
        </w:rPr>
        <w:t>大学--山西班</w:t>
      </w:r>
    </w:p>
    <w:p>
      <w:pPr>
        <w:tabs>
          <w:tab w:val="left" w:pos="945"/>
        </w:tabs>
        <w:spacing w:line="520" w:lineRule="exact"/>
        <w:jc w:val="center"/>
        <w:rPr>
          <w:rFonts w:ascii="宋体" w:hAnsi="宋体"/>
          <w:b/>
          <w:snapToGrid w:val="0"/>
          <w:color w:val="auto"/>
          <w:kern w:val="0"/>
          <w:sz w:val="28"/>
          <w:szCs w:val="28"/>
        </w:rPr>
      </w:pPr>
      <w:r>
        <w:rPr>
          <w:rFonts w:hint="eastAsia" w:ascii="华文中宋" w:hAnsi="华文中宋" w:eastAsia="华文中宋"/>
          <w:b/>
          <w:sz w:val="40"/>
        </w:rPr>
        <w:t>学员选拔培养方案</w:t>
      </w:r>
    </w:p>
    <w:p>
      <w:pPr>
        <w:adjustRightInd w:val="0"/>
        <w:snapToGrid w:val="0"/>
        <w:spacing w:line="360" w:lineRule="auto"/>
        <w:jc w:val="center"/>
        <w:rPr>
          <w:rFonts w:hint="eastAsia" w:ascii="黑体" w:hAnsi="黑体" w:eastAsia="黑体"/>
          <w:b/>
          <w:snapToGrid w:val="0"/>
          <w:color w:val="auto"/>
          <w:kern w:val="0"/>
          <w:sz w:val="36"/>
          <w:szCs w:val="36"/>
          <w:lang w:eastAsia="zh-CN"/>
        </w:rPr>
      </w:pPr>
      <w:r>
        <w:rPr>
          <w:rFonts w:hint="eastAsia" w:ascii="黑体" w:hAnsi="黑体" w:eastAsia="黑体"/>
          <w:b/>
          <w:snapToGrid w:val="0"/>
          <w:color w:val="auto"/>
          <w:kern w:val="0"/>
          <w:sz w:val="36"/>
          <w:szCs w:val="36"/>
          <w:lang w:eastAsia="zh-CN"/>
        </w:rPr>
        <w:t>（</w:t>
      </w:r>
      <w:r>
        <w:rPr>
          <w:rFonts w:hint="eastAsia" w:ascii="黑体" w:hAnsi="黑体" w:eastAsia="黑体"/>
          <w:b/>
          <w:snapToGrid w:val="0"/>
          <w:color w:val="auto"/>
          <w:kern w:val="0"/>
          <w:sz w:val="36"/>
          <w:szCs w:val="36"/>
          <w:lang w:val="en-US" w:eastAsia="zh-CN"/>
        </w:rPr>
        <w:t>进</w:t>
      </w:r>
      <w:r>
        <w:rPr>
          <w:rFonts w:hint="eastAsia" w:ascii="黑体" w:hAnsi="黑体" w:eastAsia="黑体"/>
          <w:b/>
          <w:snapToGrid w:val="0"/>
          <w:color w:val="auto"/>
          <w:kern w:val="0"/>
          <w:sz w:val="36"/>
          <w:szCs w:val="36"/>
          <w:lang w:eastAsia="zh-CN"/>
        </w:rPr>
        <w:t>名校、访名企、</w:t>
      </w:r>
      <w:r>
        <w:rPr>
          <w:rFonts w:hint="eastAsia" w:ascii="黑体" w:hAnsi="黑体" w:eastAsia="黑体"/>
          <w:b/>
          <w:snapToGrid w:val="0"/>
          <w:color w:val="auto"/>
          <w:kern w:val="0"/>
          <w:sz w:val="36"/>
          <w:szCs w:val="36"/>
          <w:lang w:val="en-US" w:eastAsia="zh-CN"/>
        </w:rPr>
        <w:t>走</w:t>
      </w:r>
      <w:r>
        <w:rPr>
          <w:rFonts w:hint="eastAsia" w:ascii="黑体" w:hAnsi="黑体" w:eastAsia="黑体"/>
          <w:b/>
          <w:snapToGrid w:val="0"/>
          <w:color w:val="auto"/>
          <w:kern w:val="0"/>
          <w:sz w:val="36"/>
          <w:szCs w:val="36"/>
          <w:lang w:eastAsia="zh-CN"/>
        </w:rPr>
        <w:t>名城）</w:t>
      </w:r>
    </w:p>
    <w:p>
      <w:pPr>
        <w:adjustRightInd w:val="0"/>
        <w:snapToGrid w:val="0"/>
        <w:spacing w:line="360" w:lineRule="auto"/>
        <w:rPr>
          <w:rFonts w:ascii="黑体" w:hAnsi="黑体" w:eastAsia="黑体"/>
          <w:b/>
          <w:snapToGrid w:val="0"/>
          <w:color w:val="auto"/>
          <w:kern w:val="0"/>
          <w:sz w:val="36"/>
          <w:szCs w:val="36"/>
        </w:rPr>
      </w:pPr>
    </w:p>
    <w:p>
      <w:pPr>
        <w:tabs>
          <w:tab w:val="left" w:pos="945"/>
        </w:tabs>
        <w:spacing w:line="520" w:lineRule="exact"/>
        <w:jc w:val="center"/>
        <w:rPr>
          <w:rFonts w:ascii="华文中宋" w:hAnsi="华文中宋" w:eastAsia="华文中宋"/>
          <w:b/>
          <w:bCs/>
          <w:sz w:val="32"/>
        </w:rPr>
      </w:pPr>
      <w:r>
        <w:rPr>
          <w:rFonts w:hint="eastAsia" w:ascii="华文中宋" w:hAnsi="华文中宋" w:eastAsia="华文中宋"/>
          <w:b/>
          <w:bCs/>
          <w:sz w:val="32"/>
        </w:rPr>
        <w:t>工业和信息化部人才交流中心</w:t>
      </w:r>
    </w:p>
    <w:p>
      <w:pPr>
        <w:tabs>
          <w:tab w:val="left" w:pos="945"/>
        </w:tabs>
        <w:spacing w:line="520" w:lineRule="exact"/>
        <w:jc w:val="center"/>
        <w:rPr>
          <w:rFonts w:hint="eastAsia" w:ascii="华文中宋" w:hAnsi="华文中宋" w:eastAsia="华文中宋"/>
          <w:b/>
          <w:bCs/>
          <w:sz w:val="32"/>
        </w:rPr>
      </w:pPr>
      <w:r>
        <w:rPr>
          <w:rFonts w:hint="eastAsia" w:ascii="华文中宋" w:hAnsi="华文中宋" w:eastAsia="华文中宋"/>
          <w:b/>
          <w:bCs/>
          <w:sz w:val="32"/>
          <w:lang w:eastAsia="zh-CN"/>
        </w:rPr>
        <w:t>北京</w:t>
      </w:r>
      <w:r>
        <w:rPr>
          <w:rFonts w:hint="eastAsia" w:ascii="华文中宋" w:hAnsi="华文中宋" w:eastAsia="华文中宋"/>
          <w:b/>
          <w:bCs/>
          <w:sz w:val="32"/>
        </w:rPr>
        <w:t>大学</w:t>
      </w:r>
    </w:p>
    <w:p>
      <w:pPr>
        <w:adjustRightInd w:val="0"/>
        <w:snapToGrid w:val="0"/>
        <w:spacing w:line="560" w:lineRule="exact"/>
        <w:outlineLvl w:val="0"/>
        <w:rPr>
          <w:rFonts w:hint="eastAsia" w:ascii="宋体" w:hAnsi="宋体"/>
          <w:b/>
          <w:color w:val="auto"/>
          <w:sz w:val="24"/>
        </w:rPr>
      </w:pPr>
      <w:r>
        <w:rPr>
          <w:rFonts w:hint="eastAsia" w:ascii="宋体" w:hAnsi="宋体"/>
          <w:b/>
          <w:color w:val="auto"/>
          <w:sz w:val="24"/>
        </w:rPr>
        <w:br w:type="page"/>
      </w:r>
    </w:p>
    <w:p>
      <w:pPr>
        <w:adjustRightInd w:val="0"/>
        <w:snapToGrid w:val="0"/>
        <w:spacing w:line="560" w:lineRule="exact"/>
        <w:outlineLvl w:val="0"/>
        <w:rPr>
          <w:rFonts w:ascii="宋体" w:hAnsi="宋体"/>
          <w:b/>
          <w:color w:val="auto"/>
          <w:sz w:val="32"/>
        </w:rPr>
      </w:pPr>
      <w:r>
        <w:rPr>
          <w:rFonts w:hint="eastAsia" w:ascii="宋体" w:hAnsi="宋体"/>
          <w:b/>
          <w:color w:val="auto"/>
          <w:sz w:val="32"/>
          <w:lang w:eastAsia="zh-CN"/>
        </w:rPr>
        <w:t>一、</w:t>
      </w:r>
      <w:r>
        <w:rPr>
          <w:rFonts w:hint="eastAsia" w:ascii="宋体" w:hAnsi="宋体"/>
          <w:b/>
          <w:color w:val="auto"/>
          <w:sz w:val="32"/>
        </w:rPr>
        <w:t>研修背景</w:t>
      </w:r>
    </w:p>
    <w:p>
      <w:pPr>
        <w:bidi w:val="0"/>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随着中国特色社会主义市场经济的确立和中小企业的蓬勃发展，中小企业对国民经济发展的作用愈加明显，中小企业在我国的国民经济发展中，始终是一支重要力量，是我国国民经济的重要组成部分。中小企业作为市场竞争机制的真正参与者和体现者，在很大程度上可以说是经济发展的基本动力，反映了经济分散化、多样化性质的内在要求，体现出的先进性、革命性和生命力之所在。同时，中小企业以其灵活而专业化的生产和经营，给配套的大企业带来协作一体化的好处，大大节约了成本，减少了风险，增强了盈利性。全球经济一体化背景下，国内市场与国际市场的融合趋势不断加深，为企业提供了新的发展机遇，同时也使得企业面临来自国内与国际市场的双重压力。在这种情况下，原本就缺乏竞争力的中小企业如果不想被市场淘汰，就必须做好自身的调整与创新，提升经营管理能力，从容迎接挑战，促进管理工作质量的提高，对企业发展中遇到的各种问题进行解决，在推动企业转型的同时，实现可持续发展。</w:t>
      </w:r>
    </w:p>
    <w:p>
      <w:pPr>
        <w:bidi w:val="0"/>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2011年9月，工业和信息化部与国资委正式发布了《关于印发&lt;企业经营管理人才素质提升工程实施方案&gt;的通知》，启动中小企业经营管理人才培养计划，重点开展中小企业经营管理领军人才培训（简称“领军人才培训”），从中小企业发展实际出发，全面整合北京大学优质培训资源与特色鲜明的教育模式，依托学校雄厚的办学实力，帮助学员学习先进企业管理经验，转变思维方式和经营理念，提高战略决策能力、经营管理能力及专业管理技能，全面提升驾驭全局的能力，受山西省小企业发展促进局委托，将</w:t>
      </w:r>
      <w:r>
        <w:rPr>
          <w:rFonts w:hint="eastAsia" w:ascii="仿宋" w:hAnsi="仿宋" w:eastAsia="仿宋" w:cs="仿宋"/>
          <w:sz w:val="30"/>
          <w:szCs w:val="30"/>
        </w:rPr>
        <w:t>承办“202</w:t>
      </w:r>
      <w:r>
        <w:rPr>
          <w:rFonts w:hint="eastAsia" w:ascii="仿宋" w:hAnsi="仿宋" w:eastAsia="仿宋" w:cs="仿宋"/>
          <w:sz w:val="30"/>
          <w:szCs w:val="30"/>
          <w:lang w:val="en-US" w:eastAsia="zh-CN"/>
        </w:rPr>
        <w:t>3</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年度工业和信息化部中小企业经营管理领军人才</w:t>
      </w:r>
      <w:r>
        <w:rPr>
          <w:rFonts w:hint="eastAsia" w:ascii="仿宋" w:hAnsi="仿宋" w:eastAsia="仿宋" w:cs="仿宋"/>
          <w:sz w:val="30"/>
          <w:szCs w:val="30"/>
          <w:lang w:val="en-US" w:eastAsia="zh-CN"/>
        </w:rPr>
        <w:t>北京大学</w:t>
      </w:r>
      <w:r>
        <w:rPr>
          <w:rFonts w:hint="eastAsia" w:ascii="仿宋" w:hAnsi="仿宋" w:eastAsia="仿宋" w:cs="仿宋"/>
          <w:sz w:val="30"/>
          <w:szCs w:val="30"/>
        </w:rPr>
        <w:t>-山西班”（以下简称“山西班”）的培训任务。</w:t>
      </w:r>
    </w:p>
    <w:p>
      <w:pPr>
        <w:bidi w:val="0"/>
        <w:jc w:val="left"/>
        <w:rPr>
          <w:rFonts w:hint="eastAsia" w:ascii="仿宋" w:hAnsi="仿宋" w:eastAsia="仿宋" w:cs="仿宋"/>
          <w:b/>
          <w:bCs/>
          <w:sz w:val="30"/>
          <w:szCs w:val="30"/>
          <w:lang w:eastAsia="zh-CN"/>
        </w:rPr>
      </w:pPr>
      <w:r>
        <w:rPr>
          <w:rFonts w:hint="eastAsia" w:ascii="宋体" w:hAnsi="宋体"/>
          <w:b/>
          <w:color w:val="auto"/>
          <w:sz w:val="32"/>
          <w:lang w:eastAsia="zh-CN"/>
        </w:rPr>
        <w:t>二、北京大学介绍</w:t>
      </w:r>
    </w:p>
    <w:p>
      <w:pPr>
        <w:bidi w:val="0"/>
        <w:jc w:val="left"/>
        <w:rPr>
          <w:rFonts w:hint="eastAsia" w:ascii="仿宋" w:hAnsi="仿宋" w:eastAsia="仿宋" w:cs="仿宋"/>
          <w:sz w:val="30"/>
          <w:szCs w:val="30"/>
        </w:rPr>
      </w:pPr>
      <w:r>
        <w:rPr>
          <w:rFonts w:hint="eastAsia" w:ascii="仿宋" w:hAnsi="仿宋" w:eastAsia="仿宋" w:cs="仿宋"/>
          <w:sz w:val="30"/>
          <w:szCs w:val="30"/>
          <w:lang w:eastAsia="zh-CN"/>
        </w:rPr>
        <w:drawing>
          <wp:inline distT="0" distB="0" distL="114300" distR="114300">
            <wp:extent cx="4309110" cy="2878455"/>
            <wp:effectExtent l="0" t="0" r="15240" b="17145"/>
            <wp:docPr id="8" name="图片 8"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true"/>
                    </pic:cNvPicPr>
                  </pic:nvPicPr>
                  <pic:blipFill>
                    <a:blip r:embed="rId6"/>
                    <a:stretch>
                      <a:fillRect/>
                    </a:stretch>
                  </pic:blipFill>
                  <pic:spPr>
                    <a:xfrm>
                      <a:off x="0" y="0"/>
                      <a:ext cx="4309110" cy="2878455"/>
                    </a:xfrm>
                    <a:prstGeom prst="rect">
                      <a:avLst/>
                    </a:prstGeom>
                  </pic:spPr>
                </pic:pic>
              </a:graphicData>
            </a:graphic>
          </wp:inline>
        </w:drawing>
      </w:r>
    </w:p>
    <w:p>
      <w:pPr>
        <w:bidi w:val="0"/>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北京大学创办于1898年，初名京师大学堂，是中国第一所国立综合性大学，也是当时中国最高教育行政机关。辛亥革命后，于1912年改为现名。</w:t>
      </w:r>
    </w:p>
    <w:p>
      <w:pPr>
        <w:bidi w:val="0"/>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为新文化运动的中心和“五四”运动的策源地，作为中国最早传播马克思主义和民主科学思想的发祥地，作为中国共产党最早的活动基地，北京大学为民族的振兴和解放、国家的建设和发展、社会的文明和进步做出了不可替代的贡献，在中国走向现代化的进程中起到了重要的先锋作用。爱国、进步、民主、科学的传统精神和勤奋、严谨、求实、创新的学风在这里生生不息、代代相传。</w:t>
      </w:r>
    </w:p>
    <w:p>
      <w:pPr>
        <w:bidi w:val="0"/>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近年来，在“211工程”和“985工程”的支持下，北京大学进入了一个新的历史发展阶段，在学科建设、人才培养、师资队伍建设、教学科研等各方面都取得了显著成绩，为将北大建设成为世界一流大学奠定了坚实的基础。今天的北京大学已经成为国家培养高素质、创造性人才的摇篮、科学研究的前沿和知识创新的重要基地和国际交流的重要桥梁和窗口。现任校党委书记郝平、校长龚旗煌。</w:t>
      </w:r>
    </w:p>
    <w:p>
      <w:pPr>
        <w:adjustRightInd w:val="0"/>
        <w:snapToGrid w:val="0"/>
        <w:spacing w:line="560" w:lineRule="exact"/>
        <w:outlineLvl w:val="0"/>
        <w:rPr>
          <w:rFonts w:ascii="宋体" w:hAnsi="宋体"/>
          <w:b/>
          <w:color w:val="auto"/>
          <w:sz w:val="32"/>
        </w:rPr>
      </w:pPr>
      <w:r>
        <w:rPr>
          <w:rFonts w:hint="eastAsia" w:ascii="宋体" w:hAnsi="宋体"/>
          <w:b/>
          <w:color w:val="auto"/>
          <w:sz w:val="32"/>
          <w:lang w:eastAsia="zh-CN"/>
        </w:rPr>
        <w:t>三、</w:t>
      </w:r>
      <w:r>
        <w:rPr>
          <w:rFonts w:hint="eastAsia" w:ascii="宋体" w:hAnsi="宋体"/>
          <w:b/>
          <w:color w:val="auto"/>
          <w:sz w:val="32"/>
        </w:rPr>
        <w:t>研修特色</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数据显示，我国中小企业的数量达到3000多万家，占企业总数90%以上，贡献了全国50%以上的税收、60%以上的GDP、70%以上的技术创新成果和80%以上的劳动力就业，是我国经济的重要组成部分。人才竞争已经成为综合国力竞争的核心。造就领军人才，领军人才是人才队伍中的一个重点。领军人才公共服务平台的社会效益和平台价值初步显现。在健全助推中小企业转型升级和创新发展服务机制的过程中，工信部人才交流中心与北京大学强强联合，应对新形势下，不断变化的市场需求，致力培养一批顺应企业发展需求的经营管理人才。</w:t>
      </w:r>
    </w:p>
    <w:p>
      <w:pPr>
        <w:widowControl/>
        <w:adjustRightInd w:val="0"/>
        <w:snapToGrid w:val="0"/>
        <w:spacing w:line="560" w:lineRule="exact"/>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全方位学习体系</w:t>
      </w:r>
    </w:p>
    <w:p>
      <w:pPr>
        <w:widowControl/>
        <w:adjustRightInd w:val="0"/>
        <w:snapToGrid w:val="0"/>
        <w:spacing w:line="560" w:lineRule="exact"/>
        <w:ind w:firstLine="672" w:firstLineChars="200"/>
        <w:rPr>
          <w:color w:val="auto"/>
          <w:spacing w:val="8"/>
          <w:sz w:val="32"/>
          <w:szCs w:val="21"/>
        </w:rPr>
      </w:pPr>
      <w:r>
        <w:rPr>
          <w:rFonts w:hint="eastAsia" w:ascii="仿宋" w:hAnsi="仿宋" w:eastAsia="仿宋"/>
          <w:color w:val="auto"/>
          <w:spacing w:val="8"/>
          <w:sz w:val="32"/>
          <w:szCs w:val="21"/>
        </w:rPr>
        <w:t>以经济、社会、管理、科技、历史、人文等相交融的全方位学习体系，帮助学员在不断改变的新商业环境下，学会如何通过调整企业战略、组织架构、资本运作方式、营销方式以及软实力的提升，实现企业的转型与突破，打造企业可持续竞争优势。</w:t>
      </w:r>
    </w:p>
    <w:p>
      <w:pPr>
        <w:widowControl/>
        <w:adjustRightInd w:val="0"/>
        <w:snapToGrid w:val="0"/>
        <w:spacing w:line="560" w:lineRule="exact"/>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强实战企业经验</w:t>
      </w:r>
    </w:p>
    <w:p>
      <w:pPr>
        <w:widowControl/>
        <w:adjustRightInd w:val="0"/>
        <w:snapToGrid w:val="0"/>
        <w:spacing w:line="560" w:lineRule="exact"/>
        <w:ind w:firstLine="672" w:firstLineChars="200"/>
        <w:rPr>
          <w:color w:val="auto"/>
          <w:spacing w:val="8"/>
          <w:sz w:val="32"/>
          <w:szCs w:val="21"/>
        </w:rPr>
      </w:pPr>
      <w:r>
        <w:rPr>
          <w:rFonts w:hint="eastAsia" w:ascii="仿宋" w:hAnsi="仿宋" w:eastAsia="仿宋"/>
          <w:color w:val="auto"/>
          <w:spacing w:val="8"/>
          <w:sz w:val="32"/>
          <w:szCs w:val="21"/>
        </w:rPr>
        <w:t>通过对本土企业在成长中遇到的典型现象进行深度解剖和分析，秉承以实用为本的原则，帮助学员学习先进企业管理经验，转变思维方式和经营理念，提高战略决策能力、经营管理能力及专业管理技能，全面提升驾驭全局的能力。</w:t>
      </w:r>
    </w:p>
    <w:p>
      <w:pPr>
        <w:widowControl/>
        <w:adjustRightInd w:val="0"/>
        <w:snapToGrid w:val="0"/>
        <w:spacing w:line="560" w:lineRule="exact"/>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多维度学习模式</w:t>
      </w:r>
    </w:p>
    <w:p>
      <w:pPr>
        <w:widowControl/>
        <w:adjustRightInd w:val="0"/>
        <w:snapToGrid w:val="0"/>
        <w:spacing w:line="560" w:lineRule="exact"/>
        <w:ind w:firstLine="672" w:firstLineChars="200"/>
        <w:rPr>
          <w:rFonts w:hint="eastAsia" w:ascii="仿宋" w:hAnsi="仿宋" w:eastAsia="仿宋"/>
          <w:color w:val="auto"/>
          <w:spacing w:val="8"/>
          <w:sz w:val="32"/>
          <w:szCs w:val="21"/>
        </w:rPr>
      </w:pPr>
      <w:r>
        <w:rPr>
          <w:rFonts w:hint="eastAsia" w:ascii="仿宋" w:hAnsi="仿宋" w:eastAsia="仿宋"/>
          <w:color w:val="auto"/>
          <w:spacing w:val="8"/>
          <w:sz w:val="32"/>
          <w:szCs w:val="21"/>
        </w:rPr>
        <w:t>采取传统的面授为主的学习模式，拓展到跨区域学习、标杆企业实地考察学习、专家案例教学与点评、企业班级论坛、沙龙、企业联谊、社会公益活动等丰富的学习和活动开展方式。</w:t>
      </w:r>
    </w:p>
    <w:p>
      <w:pPr>
        <w:widowControl/>
        <w:adjustRightInd w:val="0"/>
        <w:snapToGrid w:val="0"/>
        <w:spacing w:line="560" w:lineRule="exact"/>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跨地区交流互动</w:t>
      </w:r>
    </w:p>
    <w:p>
      <w:pPr>
        <w:widowControl/>
        <w:adjustRightInd w:val="0"/>
        <w:snapToGrid w:val="0"/>
        <w:spacing w:line="560" w:lineRule="exact"/>
        <w:ind w:firstLine="420"/>
        <w:rPr>
          <w:rFonts w:hint="eastAsia" w:ascii="仿宋" w:hAnsi="仿宋" w:eastAsia="仿宋"/>
          <w:color w:val="auto"/>
          <w:spacing w:val="8"/>
          <w:sz w:val="32"/>
          <w:szCs w:val="21"/>
        </w:rPr>
      </w:pPr>
      <w:r>
        <w:rPr>
          <w:rFonts w:hint="eastAsia"/>
          <w:color w:val="auto"/>
          <w:spacing w:val="8"/>
          <w:sz w:val="32"/>
          <w:szCs w:val="21"/>
        </w:rPr>
        <w:t xml:space="preserve">  </w:t>
      </w:r>
      <w:r>
        <w:rPr>
          <w:rFonts w:hint="eastAsia" w:ascii="仿宋" w:hAnsi="仿宋" w:eastAsia="仿宋"/>
          <w:color w:val="auto"/>
          <w:spacing w:val="8"/>
          <w:sz w:val="32"/>
          <w:szCs w:val="21"/>
        </w:rPr>
        <w:t>由工业和信息化部人才交流中心与</w:t>
      </w:r>
      <w:r>
        <w:rPr>
          <w:rFonts w:hint="eastAsia" w:ascii="仿宋" w:hAnsi="仿宋" w:eastAsia="仿宋"/>
          <w:color w:val="auto"/>
          <w:spacing w:val="8"/>
          <w:sz w:val="32"/>
          <w:szCs w:val="21"/>
          <w:lang w:eastAsia="zh-CN"/>
        </w:rPr>
        <w:t>北京</w:t>
      </w:r>
      <w:r>
        <w:rPr>
          <w:rFonts w:hint="eastAsia" w:ascii="仿宋" w:hAnsi="仿宋" w:eastAsia="仿宋"/>
          <w:color w:val="auto"/>
          <w:spacing w:val="8"/>
          <w:sz w:val="32"/>
          <w:szCs w:val="21"/>
        </w:rPr>
        <w:t>大学联合为学员搭建跨地区、跨行业、跨领域的交流互动平台，学员可与来自全国其他地区领军企业家充分交流互动，共享知识盛宴。</w:t>
      </w:r>
    </w:p>
    <w:p>
      <w:pPr>
        <w:widowControl/>
        <w:adjustRightInd w:val="0"/>
        <w:snapToGrid w:val="0"/>
        <w:spacing w:line="560" w:lineRule="exact"/>
        <w:rPr>
          <w:rFonts w:hint="eastAsia" w:ascii="楷体" w:hAnsi="楷体" w:eastAsia="楷体"/>
          <w:b/>
          <w:color w:val="auto"/>
          <w:sz w:val="32"/>
          <w:szCs w:val="21"/>
        </w:rPr>
      </w:pPr>
      <w:r>
        <w:rPr>
          <w:rFonts w:hint="eastAsia" w:ascii="楷体" w:hAnsi="楷体" w:eastAsia="楷体"/>
          <w:b/>
          <w:color w:val="auto"/>
          <w:sz w:val="32"/>
          <w:szCs w:val="21"/>
        </w:rPr>
        <w:t>延续式终生学习</w:t>
      </w:r>
    </w:p>
    <w:p>
      <w:pPr>
        <w:widowControl/>
        <w:adjustRightInd w:val="0"/>
        <w:snapToGrid w:val="0"/>
        <w:spacing w:line="560" w:lineRule="exact"/>
        <w:ind w:firstLine="640" w:firstLineChars="200"/>
        <w:rPr>
          <w:rFonts w:hint="eastAsia" w:ascii="仿宋" w:hAnsi="仿宋" w:eastAsia="仿宋"/>
          <w:color w:val="auto"/>
          <w:sz w:val="32"/>
          <w:szCs w:val="21"/>
        </w:rPr>
      </w:pPr>
      <w:r>
        <w:rPr>
          <w:rFonts w:hint="eastAsia" w:ascii="仿宋" w:hAnsi="仿宋" w:eastAsia="仿宋"/>
          <w:color w:val="auto"/>
          <w:sz w:val="32"/>
          <w:szCs w:val="21"/>
        </w:rPr>
        <w:t>学员结业后，可通过</w:t>
      </w:r>
      <w:r>
        <w:rPr>
          <w:rFonts w:hint="eastAsia" w:ascii="仿宋" w:hAnsi="仿宋" w:eastAsia="仿宋"/>
          <w:color w:val="auto"/>
          <w:sz w:val="32"/>
          <w:szCs w:val="21"/>
          <w:lang w:eastAsia="zh-CN"/>
        </w:rPr>
        <w:t>北京</w:t>
      </w:r>
      <w:r>
        <w:rPr>
          <w:rFonts w:hint="eastAsia" w:ascii="仿宋" w:hAnsi="仿宋" w:eastAsia="仿宋"/>
          <w:color w:val="auto"/>
          <w:sz w:val="32"/>
          <w:szCs w:val="21"/>
        </w:rPr>
        <w:t>大学</w:t>
      </w:r>
      <w:r>
        <w:rPr>
          <w:rFonts w:hint="eastAsia" w:ascii="仿宋" w:hAnsi="仿宋" w:eastAsia="仿宋"/>
          <w:color w:val="auto"/>
          <w:sz w:val="32"/>
          <w:szCs w:val="21"/>
          <w:lang w:eastAsia="zh-CN"/>
        </w:rPr>
        <w:t>经济学院</w:t>
      </w:r>
      <w:r>
        <w:rPr>
          <w:rFonts w:hint="eastAsia" w:ascii="仿宋" w:hAnsi="仿宋" w:eastAsia="仿宋"/>
          <w:color w:val="auto"/>
          <w:sz w:val="32"/>
          <w:szCs w:val="21"/>
        </w:rPr>
        <w:t>举办的高层论坛、</w:t>
      </w:r>
      <w:r>
        <w:rPr>
          <w:rFonts w:hint="eastAsia" w:ascii="仿宋" w:hAnsi="仿宋" w:eastAsia="仿宋"/>
          <w:color w:val="auto"/>
          <w:sz w:val="32"/>
          <w:szCs w:val="21"/>
          <w:lang w:eastAsia="zh-CN"/>
        </w:rPr>
        <w:t>大型年会、</w:t>
      </w:r>
      <w:r>
        <w:rPr>
          <w:rFonts w:hint="eastAsia" w:ascii="仿宋" w:hAnsi="仿宋" w:eastAsia="仿宋"/>
          <w:color w:val="auto"/>
          <w:sz w:val="32"/>
          <w:szCs w:val="21"/>
        </w:rPr>
        <w:t>专题研讨会和主题沙龙等活动，不断加强自我修炼，提高人文素养，提升企业领导能力。</w:t>
      </w:r>
    </w:p>
    <w:p>
      <w:pPr>
        <w:adjustRightInd w:val="0"/>
        <w:snapToGrid w:val="0"/>
        <w:spacing w:line="560" w:lineRule="exact"/>
        <w:outlineLvl w:val="0"/>
        <w:rPr>
          <w:rFonts w:hint="eastAsia" w:ascii="宋体" w:hAnsi="宋体"/>
          <w:b/>
          <w:color w:val="auto"/>
          <w:sz w:val="32"/>
          <w:lang w:eastAsia="zh-CN"/>
        </w:rPr>
      </w:pPr>
      <w:r>
        <w:rPr>
          <w:rFonts w:hint="eastAsia" w:ascii="宋体" w:hAnsi="宋体"/>
          <w:b/>
          <w:color w:val="auto"/>
          <w:sz w:val="32"/>
          <w:lang w:eastAsia="zh-CN"/>
        </w:rPr>
        <w:t>四、面向对象</w:t>
      </w:r>
    </w:p>
    <w:p>
      <w:pPr>
        <w:widowControl/>
        <w:adjustRightInd w:val="0"/>
        <w:snapToGrid w:val="0"/>
        <w:spacing w:line="500" w:lineRule="exact"/>
        <w:ind w:firstLine="300" w:firstLineChars="100"/>
        <w:textAlignment w:val="center"/>
        <w:rPr>
          <w:rFonts w:hint="eastAsia" w:ascii="仿宋" w:hAnsi="仿宋" w:eastAsia="仿宋" w:cs="仿宋"/>
          <w:spacing w:val="8"/>
          <w:sz w:val="30"/>
          <w:szCs w:val="30"/>
        </w:rPr>
      </w:pPr>
      <w:r>
        <w:rPr>
          <w:rFonts w:hint="eastAsia" w:ascii="仿宋" w:hAnsi="仿宋" w:eastAsia="仿宋" w:cs="仿宋"/>
          <w:sz w:val="30"/>
          <w:szCs w:val="30"/>
          <w:lang w:eastAsia="zh-CN"/>
        </w:rPr>
        <w:t>（一）</w:t>
      </w:r>
      <w:r>
        <w:rPr>
          <w:rFonts w:hint="eastAsia" w:ascii="仿宋" w:hAnsi="仿宋" w:eastAsia="仿宋" w:cs="仿宋"/>
          <w:spacing w:val="8"/>
          <w:sz w:val="30"/>
          <w:szCs w:val="30"/>
        </w:rPr>
        <w:t>主要是山西省的龙头骨干企业或具有发展潜质的成长型优秀企业家；企业主要经济指标处于本行业、本区域领先地位，或属于地区重点扶持产业。一般企业第一负责人，包括担任企业法人代表、董事长或总经理等主要领导职务。非企业第一负责人，须满足从事企业核心管理工作；</w:t>
      </w:r>
    </w:p>
    <w:p>
      <w:pPr>
        <w:widowControl/>
        <w:adjustRightInd w:val="0"/>
        <w:snapToGrid w:val="0"/>
        <w:spacing w:line="500" w:lineRule="exact"/>
        <w:ind w:firstLine="300" w:firstLineChars="100"/>
        <w:textAlignment w:val="center"/>
        <w:rPr>
          <w:rFonts w:ascii="仿宋" w:hAnsi="仿宋" w:eastAsia="仿宋" w:cs="仿宋"/>
          <w:spacing w:val="8"/>
          <w:sz w:val="30"/>
          <w:szCs w:val="30"/>
        </w:rPr>
      </w:pPr>
      <w:r>
        <w:rPr>
          <w:rFonts w:hint="eastAsia" w:ascii="仿宋" w:hAnsi="仿宋" w:eastAsia="仿宋" w:cs="仿宋"/>
          <w:sz w:val="30"/>
          <w:szCs w:val="30"/>
          <w:lang w:eastAsia="zh-CN"/>
        </w:rPr>
        <w:t>（二）</w:t>
      </w:r>
      <w:r>
        <w:rPr>
          <w:rFonts w:hint="eastAsia" w:ascii="仿宋" w:hAnsi="仿宋" w:eastAsia="仿宋" w:cs="仿宋"/>
          <w:spacing w:val="8"/>
          <w:sz w:val="30"/>
          <w:szCs w:val="30"/>
        </w:rPr>
        <w:t>企业家具有较强的学习意识、开放的管理理念和突出的创新创业精神；企业家重视经营团队建设，能够作为核心人物凝聚一支稳定的经营管理和科研生产团队；</w:t>
      </w:r>
    </w:p>
    <w:p>
      <w:pPr>
        <w:bidi w:val="0"/>
        <w:spacing w:line="240" w:lineRule="auto"/>
        <w:ind w:firstLine="300" w:firstLineChars="100"/>
        <w:rPr>
          <w:rFonts w:hint="eastAsia" w:ascii="仿宋" w:hAnsi="仿宋" w:eastAsia="仿宋" w:cs="仿宋"/>
          <w:color w:val="auto"/>
          <w:spacing w:val="8"/>
          <w:sz w:val="30"/>
          <w:szCs w:val="30"/>
          <w:lang w:eastAsia="zh-CN"/>
        </w:rPr>
      </w:pPr>
      <w:r>
        <w:rPr>
          <w:rFonts w:hint="eastAsia" w:ascii="仿宋" w:hAnsi="仿宋" w:eastAsia="仿宋" w:cs="仿宋"/>
          <w:sz w:val="30"/>
          <w:szCs w:val="30"/>
          <w:lang w:eastAsia="zh-CN"/>
        </w:rPr>
        <w:t>（三</w:t>
      </w:r>
      <w:r>
        <w:rPr>
          <w:rFonts w:hint="eastAsia" w:ascii="仿宋" w:hAnsi="仿宋" w:eastAsia="仿宋" w:cs="仿宋"/>
          <w:spacing w:val="8"/>
          <w:sz w:val="30"/>
          <w:szCs w:val="30"/>
          <w:lang w:eastAsia="zh-CN"/>
        </w:rPr>
        <w:t>）</w:t>
      </w:r>
      <w:r>
        <w:rPr>
          <w:rFonts w:hint="eastAsia" w:ascii="仿宋" w:hAnsi="仿宋" w:eastAsia="仿宋" w:cs="仿宋"/>
          <w:spacing w:val="8"/>
          <w:sz w:val="30"/>
          <w:szCs w:val="30"/>
        </w:rPr>
        <w:t>企业家本人有较强的社会责任感，能够积极参加全国和地方的帮扶工作，开展社会服务活动，以实际行动履行企业家的社会责任</w:t>
      </w:r>
      <w:r>
        <w:rPr>
          <w:rFonts w:hint="eastAsia" w:ascii="仿宋" w:hAnsi="仿宋" w:eastAsia="仿宋" w:cs="仿宋"/>
          <w:spacing w:val="8"/>
          <w:sz w:val="30"/>
          <w:szCs w:val="30"/>
          <w:lang w:eastAsia="zh-CN"/>
        </w:rPr>
        <w:t>。</w:t>
      </w:r>
    </w:p>
    <w:p>
      <w:pPr>
        <w:numPr>
          <w:ilvl w:val="0"/>
          <w:numId w:val="0"/>
        </w:numPr>
        <w:adjustRightInd w:val="0"/>
        <w:snapToGrid w:val="0"/>
        <w:spacing w:line="560" w:lineRule="exact"/>
        <w:outlineLvl w:val="0"/>
        <w:rPr>
          <w:rFonts w:hint="eastAsia" w:ascii="宋体" w:hAnsi="宋体"/>
          <w:b/>
          <w:color w:val="auto"/>
          <w:sz w:val="32"/>
        </w:rPr>
      </w:pPr>
      <w:r>
        <w:rPr>
          <w:rFonts w:hint="eastAsia" w:ascii="宋体" w:hAnsi="宋体"/>
          <w:b/>
          <w:color w:val="auto"/>
          <w:sz w:val="32"/>
          <w:lang w:eastAsia="zh-CN"/>
        </w:rPr>
        <w:t>五、</w:t>
      </w:r>
      <w:r>
        <w:rPr>
          <w:rFonts w:hint="eastAsia" w:ascii="宋体" w:hAnsi="宋体"/>
          <w:b/>
          <w:color w:val="auto"/>
          <w:sz w:val="32"/>
        </w:rPr>
        <w:t>课程设计</w:t>
      </w:r>
    </w:p>
    <w:p>
      <w:pPr>
        <w:adjustRightInd w:val="0"/>
        <w:snapToGrid w:val="0"/>
        <w:spacing w:line="560" w:lineRule="exact"/>
        <w:ind w:firstLine="640" w:firstLineChars="200"/>
        <w:rPr>
          <w:rFonts w:hint="eastAsia" w:ascii="仿宋" w:hAnsi="仿宋" w:eastAsia="仿宋"/>
          <w:color w:val="auto"/>
          <w:sz w:val="32"/>
          <w:szCs w:val="21"/>
        </w:rPr>
      </w:pPr>
      <w:r>
        <w:rPr>
          <w:rFonts w:hint="eastAsia" w:ascii="仿宋" w:hAnsi="仿宋" w:eastAsia="仿宋"/>
          <w:color w:val="auto"/>
          <w:sz w:val="32"/>
          <w:szCs w:val="21"/>
        </w:rPr>
        <w:t>根据“高标准、严要求、重品质、求实效”的总体要求和“因材施教、学用结合”的原则，本次培训为学员量身定做系统的课程体系，以本校强大的师资、教学及科研资源为基础</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进</w:t>
      </w:r>
      <w:r>
        <w:rPr>
          <w:rFonts w:hint="eastAsia" w:ascii="仿宋" w:hAnsi="仿宋" w:eastAsia="仿宋"/>
          <w:color w:val="auto"/>
          <w:sz w:val="32"/>
          <w:szCs w:val="21"/>
          <w:lang w:eastAsia="zh-CN"/>
        </w:rPr>
        <w:t>名校、访名企、</w:t>
      </w:r>
      <w:r>
        <w:rPr>
          <w:rFonts w:hint="eastAsia" w:ascii="仿宋" w:hAnsi="仿宋" w:eastAsia="仿宋"/>
          <w:color w:val="auto"/>
          <w:sz w:val="32"/>
          <w:szCs w:val="21"/>
          <w:lang w:val="en-US" w:eastAsia="zh-CN"/>
        </w:rPr>
        <w:t>走</w:t>
      </w:r>
      <w:r>
        <w:rPr>
          <w:rFonts w:hint="eastAsia" w:ascii="仿宋" w:hAnsi="仿宋" w:eastAsia="仿宋"/>
          <w:color w:val="auto"/>
          <w:sz w:val="32"/>
          <w:szCs w:val="21"/>
          <w:lang w:eastAsia="zh-CN"/>
        </w:rPr>
        <w:t>名城”，</w:t>
      </w:r>
      <w:r>
        <w:rPr>
          <w:rFonts w:hint="eastAsia" w:ascii="仿宋" w:hAnsi="仿宋" w:eastAsia="仿宋"/>
          <w:color w:val="auto"/>
          <w:sz w:val="32"/>
          <w:szCs w:val="21"/>
        </w:rPr>
        <w:t>整合校内外优质资源</w:t>
      </w:r>
      <w:r>
        <w:rPr>
          <w:rFonts w:hint="eastAsia" w:ascii="仿宋" w:hAnsi="仿宋" w:eastAsia="仿宋"/>
          <w:color w:val="auto"/>
          <w:sz w:val="32"/>
          <w:szCs w:val="21"/>
          <w:lang w:eastAsia="zh-CN"/>
        </w:rPr>
        <w:t>，</w:t>
      </w:r>
      <w:r>
        <w:rPr>
          <w:rFonts w:hint="eastAsia" w:ascii="仿宋" w:hAnsi="仿宋" w:eastAsia="仿宋"/>
          <w:color w:val="auto"/>
          <w:sz w:val="32"/>
          <w:szCs w:val="21"/>
        </w:rPr>
        <w:t>以理论与案例相结合的互动式教学方式，辅以各类高层论坛、户外拓展、研讨交流、参观考察、移动课堂、企业交流等活动等各类课内外教学方式，帮助学员拓展学员交流，拓宽视野。</w:t>
      </w:r>
    </w:p>
    <w:p>
      <w:pPr>
        <w:adjustRightInd w:val="0"/>
        <w:snapToGrid w:val="0"/>
        <w:spacing w:line="560" w:lineRule="exact"/>
      </w:pPr>
      <w:r>
        <w:rPr>
          <w:rFonts w:hint="eastAsia" w:cstheme="minorBidi"/>
          <w:b/>
          <w:bCs/>
          <w:kern w:val="0"/>
          <w:sz w:val="24"/>
          <w:szCs w:val="22"/>
          <w:lang w:val="en-US" w:eastAsia="zh-CN" w:bidi="ar"/>
        </w:rPr>
        <w:t>【</w:t>
      </w:r>
      <w:r>
        <w:rPr>
          <w:rFonts w:hint="eastAsia" w:asciiTheme="minorHAnsi" w:hAnsiTheme="minorHAnsi" w:eastAsiaTheme="minorEastAsia" w:cstheme="minorBidi"/>
          <w:b/>
          <w:bCs/>
          <w:kern w:val="0"/>
          <w:sz w:val="24"/>
          <w:szCs w:val="22"/>
          <w:lang w:val="en-US" w:eastAsia="zh-CN" w:bidi="ar"/>
        </w:rPr>
        <w:t>课程设置</w:t>
      </w:r>
      <w:r>
        <w:rPr>
          <w:rFonts w:hint="eastAsia" w:cstheme="minorBidi"/>
          <w:b/>
          <w:bCs/>
          <w:kern w:val="0"/>
          <w:sz w:val="24"/>
          <w:szCs w:val="22"/>
          <w:lang w:val="en-US" w:eastAsia="zh-CN" w:bidi="ar"/>
        </w:rPr>
        <w:t>】</w:t>
      </w:r>
      <w:r>
        <w:rPr>
          <w:rFonts w:hint="eastAsia" w:ascii="宋体" w:hAnsi="宋体" w:cstheme="minorBidi"/>
          <w:b/>
          <w:color w:val="auto"/>
          <w:kern w:val="2"/>
          <w:sz w:val="32"/>
          <w:szCs w:val="22"/>
          <w:lang w:val="en-US" w:eastAsia="zh-CN" w:bidi="ar-SA"/>
        </w:rPr>
        <w:t xml:space="preserve"> </w:t>
      </w:r>
      <w:r>
        <w:t>拟安排以下主要课程，具体授课以实际安排为准。</w:t>
      </w:r>
    </w:p>
    <w:tbl>
      <w:tblPr>
        <w:tblStyle w:val="10"/>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1"/>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381" w:type="dxa"/>
            <w:shd w:val="clear" w:color="auto" w:fill="4BACC6"/>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模块一：宏观视野篇</w:t>
            </w:r>
          </w:p>
        </w:tc>
        <w:tc>
          <w:tcPr>
            <w:tcW w:w="4482" w:type="dxa"/>
            <w:shd w:val="clear" w:color="auto" w:fill="4BACC6"/>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模块二：企业战略篇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81" w:type="dxa"/>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中国经济趋势解读</w:t>
            </w:r>
          </w:p>
        </w:tc>
        <w:tc>
          <w:tcPr>
            <w:tcW w:w="4482"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企业战略与经营决策管理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新常态下中国经济发展特点及走势</w:t>
            </w:r>
          </w:p>
        </w:tc>
        <w:tc>
          <w:tcPr>
            <w:tcW w:w="4482"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战略实施与组织结构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数字科技与数字经济发展趋势</w:t>
            </w:r>
          </w:p>
        </w:tc>
        <w:tc>
          <w:tcPr>
            <w:tcW w:w="4482"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商业环境与战略管理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国际经济危机与中国企业的发展</w:t>
            </w:r>
          </w:p>
        </w:tc>
        <w:tc>
          <w:tcPr>
            <w:tcW w:w="4482" w:type="dxa"/>
            <w:noWrap w:val="0"/>
            <w:vAlign w:val="center"/>
          </w:tcPr>
          <w:p>
            <w:pPr>
              <w:ind w:firstLine="600" w:firstLineChars="200"/>
              <w:jc w:val="center"/>
              <w:rPr>
                <w:rFonts w:hint="eastAsia" w:ascii="仿宋" w:hAnsi="仿宋" w:eastAsia="仿宋" w:cs="仿宋"/>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中央系列政策与会议精神解读</w:t>
            </w:r>
          </w:p>
        </w:tc>
        <w:tc>
          <w:tcPr>
            <w:tcW w:w="4482" w:type="dxa"/>
            <w:noWrap w:val="0"/>
            <w:vAlign w:val="center"/>
          </w:tcPr>
          <w:p>
            <w:pPr>
              <w:ind w:firstLine="600" w:firstLineChars="200"/>
              <w:jc w:val="center"/>
              <w:rPr>
                <w:rFonts w:hint="eastAsia" w:ascii="仿宋" w:hAnsi="仿宋" w:eastAsia="仿宋" w:cs="仿宋"/>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shd w:val="clear" w:color="auto" w:fill="4BACC6"/>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模块三：管理创新篇</w:t>
            </w:r>
          </w:p>
        </w:tc>
        <w:tc>
          <w:tcPr>
            <w:tcW w:w="4482" w:type="dxa"/>
            <w:shd w:val="clear" w:color="auto" w:fill="4BACC6"/>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模块四：品牌营销篇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产品驱动下的企业创新</w:t>
            </w:r>
          </w:p>
        </w:tc>
        <w:tc>
          <w:tcPr>
            <w:tcW w:w="4482"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品牌营销战略及创新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企业组织架构创新设计</w:t>
            </w:r>
          </w:p>
        </w:tc>
        <w:tc>
          <w:tcPr>
            <w:tcW w:w="4482"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新媒体营销模式及策划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如何实现商业模式创新</w:t>
            </w:r>
          </w:p>
        </w:tc>
        <w:tc>
          <w:tcPr>
            <w:tcW w:w="4482"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高绩效营销团队建设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思维创新与组织创新</w:t>
            </w:r>
          </w:p>
        </w:tc>
        <w:tc>
          <w:tcPr>
            <w:tcW w:w="4482"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市场竞争新思路、新规划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shd w:val="clear" w:color="auto" w:fill="4BACC6"/>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模块五：互联网思维篇</w:t>
            </w:r>
          </w:p>
        </w:tc>
        <w:tc>
          <w:tcPr>
            <w:tcW w:w="4482" w:type="dxa"/>
            <w:shd w:val="clear" w:color="auto" w:fill="4BACC6"/>
            <w:noWrap w:val="0"/>
            <w:vAlign w:val="center"/>
          </w:tcPr>
          <w:p>
            <w:pPr>
              <w:ind w:firstLine="600" w:firstLineChars="20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模块六：资本市场及国学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互联网发展浪潮下的产业趋势</w:t>
            </w:r>
          </w:p>
        </w:tc>
        <w:tc>
          <w:tcPr>
            <w:tcW w:w="4482" w:type="dxa"/>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资本市场与企业上市战略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大数据时代企业移动互联网发展</w:t>
            </w:r>
          </w:p>
        </w:tc>
        <w:tc>
          <w:tcPr>
            <w:tcW w:w="4482" w:type="dxa"/>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企业财务战略与集团管控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1" w:type="dxa"/>
            <w:noWrap w:val="0"/>
            <w:vAlign w:val="center"/>
          </w:tcPr>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基于互联网的商业模式设计与创新</w:t>
            </w:r>
          </w:p>
        </w:tc>
        <w:tc>
          <w:tcPr>
            <w:tcW w:w="4482" w:type="dxa"/>
            <w:noWrap w:val="0"/>
            <w:vAlign w:val="center"/>
          </w:tcPr>
          <w:p>
            <w:pPr>
              <w:ind w:firstLine="600" w:firstLineChars="20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传统企业互联网改造</w:t>
            </w:r>
          </w:p>
        </w:tc>
      </w:tr>
    </w:tbl>
    <w:p>
      <w:pPr>
        <w:adjustRightInd w:val="0"/>
        <w:snapToGrid w:val="0"/>
        <w:spacing w:before="156" w:beforeLines="50" w:after="156" w:afterLines="50" w:line="360" w:lineRule="auto"/>
        <w:outlineLvl w:val="0"/>
        <w:rPr>
          <w:rFonts w:asciiTheme="minorHAnsi" w:hAnsiTheme="minorHAnsi" w:eastAsiaTheme="minorEastAsia" w:cstheme="minorBidi"/>
          <w:b/>
          <w:bCs/>
          <w:kern w:val="0"/>
          <w:sz w:val="24"/>
          <w:szCs w:val="22"/>
          <w:lang w:val="en-US" w:eastAsia="zh-CN" w:bidi="ar"/>
        </w:rPr>
      </w:pPr>
      <w:r>
        <w:rPr>
          <w:rFonts w:hint="eastAsia" w:asciiTheme="minorHAnsi" w:hAnsiTheme="minorHAnsi" w:eastAsiaTheme="minorEastAsia" w:cstheme="minorBidi"/>
          <w:b/>
          <w:bCs/>
          <w:kern w:val="0"/>
          <w:sz w:val="24"/>
          <w:szCs w:val="22"/>
          <w:lang w:val="en-US" w:eastAsia="zh-CN" w:bidi="ar"/>
        </w:rPr>
        <w:t>【增值服务】</w:t>
      </w:r>
    </w:p>
    <w:tbl>
      <w:tblPr>
        <w:tblStyle w:val="9"/>
        <w:tblW w:w="850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86"/>
        <w:gridCol w:w="47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786" w:type="dxa"/>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b/>
                <w:bCs/>
                <w:color w:val="auto"/>
                <w:szCs w:val="21"/>
              </w:rPr>
            </w:pPr>
            <w:r>
              <w:rPr>
                <w:rFonts w:hint="eastAsia"/>
                <w:b/>
                <w:bCs/>
                <w:color w:val="auto"/>
                <w:szCs w:val="21"/>
              </w:rPr>
              <w:t>项 目</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jc w:val="center"/>
              <w:rPr>
                <w:rFonts w:hint="eastAsia"/>
                <w:b/>
                <w:bCs/>
                <w:color w:val="auto"/>
                <w:szCs w:val="21"/>
              </w:rPr>
            </w:pPr>
            <w:r>
              <w:rPr>
                <w:rFonts w:hint="eastAsia"/>
                <w:b/>
                <w:bCs/>
                <w:color w:val="auto"/>
                <w:szCs w:val="21"/>
              </w:rPr>
              <w:t xml:space="preserve">主 题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restart"/>
            <w:tcBorders>
              <w:top w:val="outset" w:color="auto" w:sz="6" w:space="0"/>
              <w:left w:val="outset" w:color="auto" w:sz="6" w:space="0"/>
              <w:bottom w:val="outset" w:color="auto" w:sz="6" w:space="0"/>
              <w:right w:val="outset" w:color="auto" w:sz="6" w:space="0"/>
            </w:tcBorders>
            <w:vAlign w:val="center"/>
          </w:tcPr>
          <w:p>
            <w:pPr>
              <w:adjustRightInd w:val="0"/>
              <w:snapToGrid w:val="0"/>
              <w:ind w:firstLine="481" w:firstLineChars="200"/>
              <w:rPr>
                <w:rFonts w:hint="eastAsia" w:ascii="宋体" w:hAnsi="宋体"/>
                <w:b/>
                <w:bCs/>
                <w:color w:val="auto"/>
                <w:sz w:val="24"/>
                <w:szCs w:val="21"/>
              </w:rPr>
            </w:pPr>
            <w:r>
              <w:rPr>
                <w:rFonts w:hint="eastAsia" w:ascii="宋体" w:hAnsi="宋体"/>
                <w:b/>
                <w:bCs/>
                <w:color w:val="auto"/>
                <w:sz w:val="24"/>
                <w:szCs w:val="21"/>
              </w:rPr>
              <w:t>领军企业转型升级暨成果交流</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转型升级指导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outset" w:color="auto" w:sz="6" w:space="0"/>
              <w:right w:val="outset" w:color="auto" w:sz="6" w:space="0"/>
            </w:tcBorders>
            <w:vAlign w:val="center"/>
          </w:tcPr>
          <w:p>
            <w:pPr>
              <w:adjustRightInd w:val="0"/>
              <w:snapToGrid w:val="0"/>
              <w:ind w:firstLine="481" w:firstLineChars="200"/>
              <w:rPr>
                <w:rFonts w:hint="eastAsia" w:ascii="宋体" w:hAnsi="宋体"/>
                <w:b/>
                <w:bCs/>
                <w:color w:val="auto"/>
                <w:sz w:val="24"/>
                <w:szCs w:val="21"/>
              </w:rPr>
            </w:pP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优秀案例分享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outset" w:color="auto" w:sz="6" w:space="0"/>
              <w:right w:val="outset" w:color="auto" w:sz="6" w:space="0"/>
            </w:tcBorders>
            <w:vAlign w:val="center"/>
          </w:tcPr>
          <w:p>
            <w:pPr>
              <w:adjustRightInd w:val="0"/>
              <w:snapToGrid w:val="0"/>
              <w:ind w:firstLine="481" w:firstLineChars="200"/>
              <w:rPr>
                <w:rFonts w:hint="eastAsia" w:ascii="宋体" w:hAnsi="宋体"/>
                <w:b/>
                <w:bCs/>
                <w:color w:val="auto"/>
                <w:sz w:val="24"/>
                <w:szCs w:val="21"/>
              </w:rPr>
            </w:pP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合作成果交流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tcBorders>
              <w:top w:val="outset" w:color="auto" w:sz="6" w:space="0"/>
              <w:left w:val="outset" w:color="auto" w:sz="6" w:space="0"/>
              <w:bottom w:val="outset" w:color="auto" w:sz="6" w:space="0"/>
              <w:right w:val="outset" w:color="auto" w:sz="6" w:space="0"/>
            </w:tcBorders>
            <w:vAlign w:val="center"/>
          </w:tcPr>
          <w:p>
            <w:pPr>
              <w:adjustRightInd w:val="0"/>
              <w:snapToGrid w:val="0"/>
              <w:ind w:firstLine="481" w:firstLineChars="200"/>
              <w:rPr>
                <w:rFonts w:hint="eastAsia" w:ascii="宋体" w:hAnsi="宋体"/>
                <w:b/>
                <w:bCs/>
                <w:color w:val="auto"/>
                <w:sz w:val="24"/>
                <w:szCs w:val="21"/>
              </w:rPr>
            </w:pPr>
            <w:r>
              <w:rPr>
                <w:rFonts w:hint="eastAsia" w:ascii="宋体" w:hAnsi="宋体"/>
                <w:b/>
                <w:bCs/>
                <w:color w:val="auto"/>
                <w:sz w:val="24"/>
                <w:szCs w:val="21"/>
              </w:rPr>
              <w:t>领军企业家巡回周</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前沿咨询、商业模式、系统提升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tcBorders>
              <w:top w:val="outset" w:color="auto" w:sz="6" w:space="0"/>
              <w:left w:val="outset" w:color="auto" w:sz="6" w:space="0"/>
              <w:bottom w:val="outset" w:color="auto" w:sz="6" w:space="0"/>
              <w:right w:val="outset" w:color="auto" w:sz="6" w:space="0"/>
            </w:tcBorders>
            <w:vAlign w:val="center"/>
          </w:tcPr>
          <w:p>
            <w:pPr>
              <w:adjustRightInd w:val="0"/>
              <w:snapToGrid w:val="0"/>
              <w:ind w:firstLine="481" w:firstLineChars="200"/>
              <w:rPr>
                <w:rFonts w:hint="eastAsia" w:ascii="宋体" w:hAnsi="宋体"/>
                <w:b/>
                <w:bCs/>
                <w:color w:val="auto"/>
                <w:sz w:val="24"/>
                <w:szCs w:val="21"/>
              </w:rPr>
            </w:pPr>
            <w:r>
              <w:rPr>
                <w:rFonts w:hint="eastAsia" w:ascii="宋体" w:hAnsi="宋体"/>
                <w:b/>
                <w:bCs/>
                <w:color w:val="auto"/>
                <w:sz w:val="24"/>
                <w:szCs w:val="21"/>
              </w:rPr>
              <w:t>领军企业家网络课堂</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宏观经济、政策解读、行业发展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restart"/>
            <w:tcBorders>
              <w:top w:val="outset" w:color="auto" w:sz="6" w:space="0"/>
              <w:left w:val="outset" w:color="auto" w:sz="6" w:space="0"/>
              <w:bottom w:val="outset" w:color="auto" w:sz="6" w:space="0"/>
              <w:right w:val="outset" w:color="auto" w:sz="6" w:space="0"/>
            </w:tcBorders>
            <w:vAlign w:val="center"/>
          </w:tcPr>
          <w:p>
            <w:pPr>
              <w:adjustRightInd w:val="0"/>
              <w:snapToGrid w:val="0"/>
              <w:ind w:firstLine="481" w:firstLineChars="200"/>
              <w:rPr>
                <w:rFonts w:hint="eastAsia" w:ascii="宋体" w:hAnsi="宋体"/>
                <w:b/>
                <w:bCs/>
                <w:color w:val="auto"/>
                <w:sz w:val="24"/>
                <w:szCs w:val="21"/>
              </w:rPr>
            </w:pPr>
            <w:r>
              <w:rPr>
                <w:rFonts w:hint="eastAsia" w:ascii="宋体" w:hAnsi="宋体"/>
                <w:b/>
                <w:bCs/>
                <w:color w:val="auto"/>
                <w:sz w:val="24"/>
                <w:szCs w:val="21"/>
              </w:rPr>
              <w:t>领军企业家高端交流</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领军企业家沙龙、私董会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single" w:color="auto" w:sz="4" w:space="0"/>
              <w:right w:val="outset" w:color="auto" w:sz="6" w:space="0"/>
            </w:tcBorders>
            <w:vAlign w:val="center"/>
          </w:tcPr>
          <w:p>
            <w:pPr>
              <w:adjustRightInd w:val="0"/>
              <w:snapToGrid w:val="0"/>
              <w:ind w:firstLine="480" w:firstLineChars="200"/>
              <w:rPr>
                <w:rFonts w:hint="eastAsia" w:ascii="宋体" w:hAnsi="宋体"/>
                <w:color w:val="auto"/>
                <w:sz w:val="24"/>
                <w:szCs w:val="21"/>
              </w:rPr>
            </w:pPr>
          </w:p>
        </w:tc>
        <w:tc>
          <w:tcPr>
            <w:tcW w:w="4719" w:type="dxa"/>
            <w:tcBorders>
              <w:top w:val="outset" w:color="auto" w:sz="6" w:space="0"/>
              <w:left w:val="outset" w:color="auto" w:sz="6" w:space="0"/>
              <w:bottom w:val="single" w:color="auto" w:sz="4"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领军企业家联谊会</w:t>
            </w:r>
          </w:p>
        </w:tc>
      </w:tr>
    </w:tbl>
    <w:p>
      <w:pPr>
        <w:adjustRightInd w:val="0"/>
        <w:snapToGrid w:val="0"/>
        <w:spacing w:line="560" w:lineRule="exact"/>
        <w:outlineLvl w:val="0"/>
        <w:rPr>
          <w:rFonts w:hint="eastAsia" w:ascii="仿宋" w:hAnsi="仿宋" w:eastAsia="仿宋"/>
          <w:color w:val="auto"/>
          <w:sz w:val="32"/>
          <w:szCs w:val="21"/>
        </w:rPr>
      </w:pPr>
      <w:r>
        <w:rPr>
          <w:rFonts w:hint="eastAsia" w:ascii="仿宋" w:hAnsi="仿宋" w:eastAsia="仿宋"/>
          <w:color w:val="auto"/>
          <w:sz w:val="32"/>
          <w:szCs w:val="21"/>
        </w:rPr>
        <w:t xml:space="preserve">    学员可申请加入</w:t>
      </w:r>
      <w:r>
        <w:rPr>
          <w:rFonts w:hint="eastAsia" w:ascii="仿宋" w:hAnsi="仿宋" w:eastAsia="仿宋"/>
          <w:color w:val="auto"/>
          <w:sz w:val="32"/>
          <w:szCs w:val="21"/>
          <w:lang w:eastAsia="zh-CN"/>
        </w:rPr>
        <w:t>北京</w:t>
      </w:r>
      <w:r>
        <w:rPr>
          <w:rFonts w:hint="eastAsia" w:ascii="仿宋" w:hAnsi="仿宋" w:eastAsia="仿宋"/>
          <w:color w:val="auto"/>
          <w:sz w:val="32"/>
          <w:szCs w:val="21"/>
        </w:rPr>
        <w:t>大学</w:t>
      </w:r>
      <w:r>
        <w:rPr>
          <w:rFonts w:hint="eastAsia" w:ascii="仿宋" w:hAnsi="仿宋" w:eastAsia="仿宋"/>
          <w:color w:val="auto"/>
          <w:sz w:val="32"/>
          <w:szCs w:val="21"/>
          <w:lang w:val="en-US" w:eastAsia="zh-CN"/>
        </w:rPr>
        <w:t>经济学院山西</w:t>
      </w:r>
      <w:r>
        <w:rPr>
          <w:rFonts w:hint="eastAsia" w:ascii="仿宋" w:hAnsi="仿宋" w:eastAsia="仿宋"/>
          <w:color w:val="auto"/>
          <w:sz w:val="32"/>
          <w:szCs w:val="21"/>
        </w:rPr>
        <w:t>校友会，与诸多山西与中部企业家学子齐聚一堂，学习分享，共同成长。</w:t>
      </w:r>
    </w:p>
    <w:p>
      <w:pPr>
        <w:adjustRightInd w:val="0"/>
        <w:snapToGrid w:val="0"/>
        <w:spacing w:line="560" w:lineRule="exact"/>
        <w:ind w:firstLine="420"/>
        <w:outlineLvl w:val="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学习平台：</w:t>
      </w:r>
      <w:r>
        <w:rPr>
          <w:rFonts w:hint="eastAsia" w:ascii="仿宋" w:hAnsi="仿宋" w:eastAsia="仿宋"/>
          <w:color w:val="auto"/>
          <w:sz w:val="32"/>
          <w:szCs w:val="21"/>
        </w:rPr>
        <w:t>课程</w:t>
      </w:r>
      <w:r>
        <w:rPr>
          <w:rFonts w:hint="eastAsia" w:ascii="仿宋" w:hAnsi="仿宋" w:eastAsia="仿宋"/>
          <w:color w:val="auto"/>
          <w:sz w:val="32"/>
          <w:szCs w:val="21"/>
          <w:lang w:val="zh-CN"/>
        </w:rPr>
        <w:t>旨在联合最为优质、高端和广泛的社会资源，培育中国经济未来崛起的力量；项目聚焦成长型企业的实际需求，以培养企业掌门人的智慧和远见，解决问题为导向，课程体系全方位保障整体课程的系统性和实用性。</w:t>
      </w:r>
    </w:p>
    <w:p>
      <w:pPr>
        <w:adjustRightInd w:val="0"/>
        <w:snapToGrid w:val="0"/>
        <w:spacing w:line="560" w:lineRule="exact"/>
        <w:ind w:firstLine="420"/>
        <w:outlineLvl w:val="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交流平台：</w:t>
      </w:r>
      <w:r>
        <w:rPr>
          <w:rFonts w:hint="eastAsia" w:ascii="仿宋" w:hAnsi="仿宋" w:eastAsia="仿宋"/>
          <w:color w:val="auto"/>
          <w:sz w:val="32"/>
          <w:szCs w:val="21"/>
          <w:lang w:val="zh-CN"/>
        </w:rPr>
        <w:t>企业家导师将全方位“传、帮、带”，引领学员深入剖析领军型企业，在耳濡目染中汲取成败得失，提升商业实战成效，解决企业跨越式发展过程中的根本问题。核心课程以实战实用为主，贴心私董式互动学习，引领学员全方位探讨及学习标杆企业，并在企业家导师的带领下，结合自身经营实际，找到自己的问题，反思提升。</w:t>
      </w:r>
    </w:p>
    <w:p>
      <w:pPr>
        <w:adjustRightInd w:val="0"/>
        <w:snapToGrid w:val="0"/>
        <w:spacing w:line="560" w:lineRule="exact"/>
        <w:ind w:firstLine="42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服务平台：</w:t>
      </w:r>
      <w:r>
        <w:rPr>
          <w:rFonts w:hint="eastAsia" w:ascii="仿宋" w:hAnsi="仿宋" w:eastAsia="仿宋"/>
          <w:color w:val="auto"/>
          <w:sz w:val="32"/>
          <w:szCs w:val="21"/>
          <w:lang w:val="zh-CN"/>
        </w:rPr>
        <w:t>将安排富有盛名的投资家，帮助学员拓展融资渠道，提升资本运作能力，获取资本市场青睐；</w:t>
      </w:r>
      <w:r>
        <w:rPr>
          <w:rFonts w:hint="eastAsia" w:ascii="仿宋" w:hAnsi="仿宋" w:eastAsia="仿宋"/>
          <w:color w:val="auto"/>
          <w:sz w:val="32"/>
          <w:szCs w:val="21"/>
        </w:rPr>
        <w:t>加入</w:t>
      </w:r>
      <w:r>
        <w:rPr>
          <w:rFonts w:hint="eastAsia" w:ascii="仿宋" w:hAnsi="仿宋" w:eastAsia="仿宋"/>
          <w:color w:val="auto"/>
          <w:sz w:val="32"/>
          <w:szCs w:val="21"/>
          <w:lang w:val="zh-CN"/>
        </w:rPr>
        <w:t>“</w:t>
      </w:r>
      <w:r>
        <w:rPr>
          <w:rFonts w:hint="eastAsia" w:ascii="仿宋" w:hAnsi="仿宋" w:eastAsia="仿宋"/>
          <w:color w:val="auto"/>
          <w:sz w:val="32"/>
          <w:szCs w:val="21"/>
        </w:rPr>
        <w:t>企业家校友会</w:t>
      </w:r>
      <w:r>
        <w:rPr>
          <w:rFonts w:hint="eastAsia" w:ascii="仿宋" w:hAnsi="仿宋" w:eastAsia="仿宋"/>
          <w:color w:val="auto"/>
          <w:sz w:val="32"/>
          <w:szCs w:val="21"/>
          <w:lang w:val="zh-CN"/>
        </w:rPr>
        <w:t>”，促进学员与学员之间，导师与学员之间深度融合；通过参访、联谊、研讨会、论坛等丰富的形式，实现资源聚合。</w:t>
      </w:r>
    </w:p>
    <w:p>
      <w:pPr>
        <w:adjustRightInd w:val="0"/>
        <w:snapToGrid w:val="0"/>
        <w:spacing w:line="560" w:lineRule="exact"/>
        <w:rPr>
          <w:rFonts w:hint="eastAsia" w:ascii="宋体" w:hAnsi="宋体" w:eastAsiaTheme="minorEastAsia" w:cstheme="minorBidi"/>
          <w:b/>
          <w:color w:val="auto"/>
          <w:kern w:val="2"/>
          <w:sz w:val="32"/>
          <w:szCs w:val="22"/>
          <w:lang w:val="en-US" w:eastAsia="zh-CN" w:bidi="ar-SA"/>
        </w:rPr>
      </w:pPr>
      <w:r>
        <w:rPr>
          <w:rFonts w:hint="eastAsia" w:ascii="宋体" w:hAnsi="宋体" w:eastAsiaTheme="minorEastAsia" w:cstheme="minorBidi"/>
          <w:b/>
          <w:color w:val="auto"/>
          <w:kern w:val="2"/>
          <w:sz w:val="32"/>
          <w:szCs w:val="22"/>
          <w:lang w:val="en-US" w:eastAsia="zh-CN" w:bidi="ar-SA"/>
        </w:rPr>
        <w:t>六、拟聘师资</w:t>
      </w:r>
    </w:p>
    <w:p>
      <w:pPr>
        <w:spacing w:line="560" w:lineRule="exact"/>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李庆云：</w:t>
      </w:r>
      <w:r>
        <w:rPr>
          <w:rFonts w:hint="default" w:ascii="仿宋" w:hAnsi="仿宋" w:eastAsia="仿宋" w:cs="仿宋"/>
          <w:kern w:val="2"/>
          <w:sz w:val="32"/>
          <w:szCs w:val="20"/>
          <w:lang w:val="en-US" w:eastAsia="zh-CN" w:bidi="ar-SA"/>
        </w:rPr>
        <w:t>北京大学经济学院教授、博士生导师、为国务院参事成员。</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章 政</w:t>
      </w:r>
      <w:r>
        <w:rPr>
          <w:rFonts w:hint="default" w:ascii="仿宋" w:hAnsi="仿宋" w:eastAsia="仿宋" w:cs="仿宋"/>
          <w:kern w:val="2"/>
          <w:sz w:val="32"/>
          <w:szCs w:val="20"/>
          <w:lang w:val="en-US" w:eastAsia="zh-CN" w:bidi="ar-SA"/>
        </w:rPr>
        <w:t>：北京大学</w:t>
      </w:r>
      <w:r>
        <w:rPr>
          <w:rFonts w:hint="eastAsia" w:ascii="仿宋" w:hAnsi="仿宋" w:eastAsia="仿宋" w:cs="仿宋"/>
          <w:kern w:val="2"/>
          <w:sz w:val="32"/>
          <w:szCs w:val="20"/>
          <w:lang w:val="en-US" w:eastAsia="zh-CN" w:bidi="ar-SA"/>
        </w:rPr>
        <w:t>经济</w:t>
      </w:r>
      <w:r>
        <w:rPr>
          <w:rFonts w:hint="default" w:ascii="仿宋" w:hAnsi="仿宋" w:eastAsia="仿宋" w:cs="仿宋"/>
          <w:kern w:val="2"/>
          <w:sz w:val="32"/>
          <w:szCs w:val="20"/>
          <w:lang w:val="en-US" w:eastAsia="zh-CN" w:bidi="ar-SA"/>
        </w:rPr>
        <w:t>学院教授</w:t>
      </w:r>
      <w:r>
        <w:rPr>
          <w:rFonts w:hint="eastAsia" w:ascii="仿宋" w:hAnsi="仿宋" w:eastAsia="仿宋" w:cs="仿宋"/>
          <w:kern w:val="2"/>
          <w:sz w:val="32"/>
          <w:szCs w:val="20"/>
          <w:lang w:val="en-US" w:eastAsia="zh-CN" w:bidi="ar-SA"/>
        </w:rPr>
        <w:t>，原党委书记</w:t>
      </w:r>
      <w:r>
        <w:rPr>
          <w:rFonts w:hint="default" w:ascii="仿宋" w:hAnsi="仿宋" w:eastAsia="仿宋" w:cs="仿宋"/>
          <w:kern w:val="2"/>
          <w:sz w:val="32"/>
          <w:szCs w:val="20"/>
          <w:lang w:val="en-US" w:eastAsia="zh-CN" w:bidi="ar-SA"/>
        </w:rPr>
        <w:t>。</w:t>
      </w:r>
    </w:p>
    <w:p>
      <w:pPr>
        <w:spacing w:line="560" w:lineRule="exact"/>
        <w:rPr>
          <w:rFonts w:hint="eastAsia" w:ascii="仿宋" w:hAnsi="仿宋" w:eastAsia="仿宋" w:cs="仿宋"/>
          <w:kern w:val="2"/>
          <w:sz w:val="32"/>
          <w:szCs w:val="20"/>
          <w:lang w:val="en-US" w:eastAsia="zh-CN" w:bidi="ar-SA"/>
        </w:rPr>
      </w:pPr>
      <w:r>
        <w:rPr>
          <w:rFonts w:hint="eastAsia" w:ascii="仿宋" w:hAnsi="仿宋" w:eastAsia="仿宋" w:cs="宋体"/>
          <w:b/>
          <w:bCs/>
          <w:color w:val="auto"/>
          <w:kern w:val="2"/>
          <w:sz w:val="32"/>
          <w:szCs w:val="22"/>
          <w:lang w:val="en-US" w:eastAsia="zh-CN" w:bidi="ar-SA"/>
        </w:rPr>
        <w:t>张亚光：</w:t>
      </w:r>
      <w:r>
        <w:rPr>
          <w:rFonts w:hint="eastAsia" w:ascii="仿宋" w:hAnsi="仿宋" w:eastAsia="仿宋" w:cs="宋体"/>
          <w:color w:val="auto"/>
          <w:kern w:val="2"/>
          <w:sz w:val="32"/>
          <w:szCs w:val="22"/>
          <w:lang w:val="en-US" w:eastAsia="zh-CN" w:bidi="ar-SA"/>
        </w:rPr>
        <w:t>北京大学经济学院党委委员、副院长、长聘副教授、研究员，博士生导师。</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岳庆平：</w:t>
      </w:r>
      <w:r>
        <w:rPr>
          <w:rFonts w:hint="default" w:ascii="仿宋" w:hAnsi="仿宋" w:eastAsia="仿宋" w:cs="仿宋"/>
          <w:kern w:val="2"/>
          <w:sz w:val="32"/>
          <w:szCs w:val="20"/>
          <w:lang w:val="en-US" w:eastAsia="zh-CN" w:bidi="ar-SA"/>
        </w:rPr>
        <w:t>中共中央统战部机关党委常委、原北京大学历史系教授、博士生导师。</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李中华：</w:t>
      </w:r>
      <w:r>
        <w:rPr>
          <w:rFonts w:hint="default" w:ascii="仿宋" w:hAnsi="仿宋" w:eastAsia="仿宋" w:cs="仿宋"/>
          <w:kern w:val="2"/>
          <w:sz w:val="32"/>
          <w:szCs w:val="20"/>
          <w:lang w:val="en-US" w:eastAsia="zh-CN" w:bidi="ar-SA"/>
        </w:rPr>
        <w:t>北京大学中国哲学暨文化研究所所长、中国文化书院导师、副院长、哲学系博士生导师。</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周建波:</w:t>
      </w:r>
      <w:r>
        <w:rPr>
          <w:rFonts w:hint="default" w:ascii="仿宋" w:hAnsi="仿宋" w:eastAsia="仿宋" w:cs="仿宋"/>
          <w:kern w:val="2"/>
          <w:sz w:val="32"/>
          <w:szCs w:val="20"/>
          <w:lang w:val="en-US" w:eastAsia="zh-CN" w:bidi="ar-SA"/>
        </w:rPr>
        <w:t xml:space="preserve"> 北京大学经济学院教授、博士生导师。</w:t>
      </w:r>
    </w:p>
    <w:p>
      <w:pPr>
        <w:rPr>
          <w:rFonts w:hint="default" w:ascii="仿宋" w:hAnsi="仿宋" w:eastAsia="仿宋" w:cs="仿宋"/>
          <w:kern w:val="2"/>
          <w:sz w:val="32"/>
          <w:szCs w:val="20"/>
          <w:lang w:val="en-US" w:eastAsia="zh-CN" w:bidi="ar-SA"/>
        </w:rPr>
      </w:pPr>
      <w:r>
        <w:rPr>
          <w:rFonts w:hint="eastAsia" w:ascii="仿宋" w:hAnsi="仿宋" w:eastAsia="仿宋" w:cs="仿宋"/>
          <w:b/>
          <w:bCs/>
          <w:kern w:val="2"/>
          <w:sz w:val="32"/>
          <w:szCs w:val="20"/>
          <w:lang w:val="en-US" w:eastAsia="zh-CN" w:bidi="ar-SA"/>
        </w:rPr>
        <w:t>张元鹏：</w:t>
      </w:r>
      <w:r>
        <w:rPr>
          <w:rFonts w:hint="eastAsia" w:ascii="仿宋" w:hAnsi="仿宋" w:eastAsia="仿宋" w:cs="仿宋"/>
          <w:kern w:val="2"/>
          <w:sz w:val="32"/>
          <w:szCs w:val="20"/>
          <w:lang w:val="en-US" w:eastAsia="zh-CN" w:bidi="ar-SA"/>
        </w:rPr>
        <w:t>北京大学经济学院教授，博士生导师。</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黄俊立</w:t>
      </w:r>
      <w:r>
        <w:rPr>
          <w:rFonts w:hint="default" w:ascii="仿宋" w:hAnsi="仿宋" w:eastAsia="仿宋" w:cs="仿宋"/>
          <w:kern w:val="2"/>
          <w:sz w:val="32"/>
          <w:szCs w:val="20"/>
          <w:lang w:val="en-US" w:eastAsia="zh-CN" w:bidi="ar-SA"/>
        </w:rPr>
        <w:t>：北京大学马克思主义学院副教授、博士生导师</w:t>
      </w:r>
      <w:r>
        <w:rPr>
          <w:rFonts w:hint="eastAsia" w:ascii="仿宋" w:hAnsi="仿宋" w:eastAsia="仿宋" w:cs="仿宋"/>
          <w:kern w:val="2"/>
          <w:sz w:val="32"/>
          <w:szCs w:val="20"/>
          <w:lang w:val="en-US" w:eastAsia="zh-CN" w:bidi="ar-SA"/>
        </w:rPr>
        <w:t>。</w:t>
      </w:r>
    </w:p>
    <w:p>
      <w:pPr>
        <w:rPr>
          <w:rFonts w:hint="eastAsia" w:ascii="仿宋" w:hAnsi="仿宋" w:eastAsia="仿宋" w:cs="仿宋"/>
          <w:kern w:val="2"/>
          <w:sz w:val="32"/>
          <w:szCs w:val="20"/>
          <w:lang w:val="en-US" w:eastAsia="zh-CN" w:bidi="ar-SA"/>
        </w:rPr>
      </w:pPr>
      <w:r>
        <w:rPr>
          <w:rFonts w:hint="eastAsia" w:ascii="仿宋" w:hAnsi="仿宋" w:eastAsia="仿宋" w:cs="仿宋"/>
          <w:b/>
          <w:bCs/>
          <w:kern w:val="2"/>
          <w:sz w:val="32"/>
          <w:szCs w:val="20"/>
          <w:lang w:val="en-US" w:eastAsia="zh-CN" w:bidi="ar-SA"/>
        </w:rPr>
        <w:t>阎步克:</w:t>
      </w:r>
      <w:r>
        <w:rPr>
          <w:rFonts w:hint="eastAsia" w:ascii="仿宋" w:hAnsi="仿宋" w:eastAsia="仿宋" w:cs="仿宋"/>
          <w:kern w:val="2"/>
          <w:sz w:val="32"/>
          <w:szCs w:val="20"/>
          <w:lang w:val="en-US" w:eastAsia="zh-CN" w:bidi="ar-SA"/>
        </w:rPr>
        <w:fldChar w:fldCharType="begin"/>
      </w:r>
      <w:r>
        <w:rPr>
          <w:rFonts w:hint="eastAsia" w:ascii="仿宋" w:hAnsi="仿宋" w:eastAsia="仿宋" w:cs="仿宋"/>
          <w:kern w:val="2"/>
          <w:sz w:val="32"/>
          <w:szCs w:val="20"/>
          <w:lang w:val="en-US" w:eastAsia="zh-CN" w:bidi="ar-SA"/>
        </w:rPr>
        <w:instrText xml:space="preserve"> HYPERLINK "https://baike.baidu.com/item/%E5%8C%97%E4%BA%AC%E5%A4%A7%E5%AD%A6" \t "https://baike.baidu.com/item/%E9%98%8E%E6%AD%A5%E5%85%8B/_blank" </w:instrText>
      </w:r>
      <w:r>
        <w:rPr>
          <w:rFonts w:hint="eastAsia" w:ascii="仿宋" w:hAnsi="仿宋" w:eastAsia="仿宋" w:cs="仿宋"/>
          <w:kern w:val="2"/>
          <w:sz w:val="32"/>
          <w:szCs w:val="20"/>
          <w:lang w:val="en-US" w:eastAsia="zh-CN" w:bidi="ar-SA"/>
        </w:rPr>
        <w:fldChar w:fldCharType="separate"/>
      </w:r>
      <w:r>
        <w:rPr>
          <w:rFonts w:hint="eastAsia" w:ascii="仿宋" w:hAnsi="仿宋" w:eastAsia="仿宋" w:cs="仿宋"/>
          <w:kern w:val="2"/>
          <w:sz w:val="32"/>
          <w:szCs w:val="20"/>
          <w:lang w:val="en-US" w:eastAsia="zh-CN" w:bidi="ar-SA"/>
        </w:rPr>
        <w:t>北京大学</w:t>
      </w:r>
      <w:r>
        <w:rPr>
          <w:rFonts w:hint="eastAsia" w:ascii="仿宋" w:hAnsi="仿宋" w:eastAsia="仿宋" w:cs="仿宋"/>
          <w:kern w:val="2"/>
          <w:sz w:val="32"/>
          <w:szCs w:val="20"/>
          <w:lang w:val="en-US" w:eastAsia="zh-CN" w:bidi="ar-SA"/>
        </w:rPr>
        <w:fldChar w:fldCharType="end"/>
      </w:r>
      <w:r>
        <w:rPr>
          <w:rFonts w:hint="eastAsia" w:ascii="仿宋" w:hAnsi="仿宋" w:eastAsia="仿宋" w:cs="仿宋"/>
          <w:kern w:val="2"/>
          <w:sz w:val="32"/>
          <w:szCs w:val="20"/>
          <w:lang w:val="en-US" w:eastAsia="zh-CN" w:bidi="ar-SA"/>
        </w:rPr>
        <w:t>人文学部副主任，历史学系学术委员会主席，学科学位分委员会委员。</w:t>
      </w:r>
      <w:r>
        <w:rPr>
          <w:rFonts w:hint="eastAsia" w:ascii="仿宋" w:hAnsi="仿宋" w:eastAsia="仿宋" w:cs="仿宋"/>
          <w:kern w:val="2"/>
          <w:sz w:val="32"/>
          <w:szCs w:val="20"/>
          <w:lang w:val="en-US" w:eastAsia="zh-CN" w:bidi="ar-SA"/>
        </w:rPr>
        <w:fldChar w:fldCharType="begin"/>
      </w:r>
      <w:r>
        <w:rPr>
          <w:rFonts w:hint="eastAsia" w:ascii="仿宋" w:hAnsi="仿宋" w:eastAsia="仿宋" w:cs="仿宋"/>
          <w:kern w:val="2"/>
          <w:sz w:val="32"/>
          <w:szCs w:val="20"/>
          <w:lang w:val="en-US" w:eastAsia="zh-CN" w:bidi="ar-SA"/>
        </w:rPr>
        <w:instrText xml:space="preserve"> HYPERLINK "https://baike.baidu.com/item/%E5%8C%97%E4%BA%AC%E5%A4%A7%E5%AD%A6%E5%8E%86%E5%8F%B2%E5%AD%A6%E7%B3%BB/9776795" \t "https://baike.baidu.com/item/%E9%98%8E%E6%AD%A5%E5%85%8B/_blank" </w:instrText>
      </w:r>
      <w:r>
        <w:rPr>
          <w:rFonts w:hint="eastAsia" w:ascii="仿宋" w:hAnsi="仿宋" w:eastAsia="仿宋" w:cs="仿宋"/>
          <w:kern w:val="2"/>
          <w:sz w:val="32"/>
          <w:szCs w:val="20"/>
          <w:lang w:val="en-US" w:eastAsia="zh-CN" w:bidi="ar-SA"/>
        </w:rPr>
        <w:fldChar w:fldCharType="separate"/>
      </w:r>
      <w:r>
        <w:rPr>
          <w:rFonts w:hint="eastAsia" w:ascii="仿宋" w:hAnsi="仿宋" w:eastAsia="仿宋" w:cs="仿宋"/>
          <w:kern w:val="2"/>
          <w:sz w:val="32"/>
          <w:szCs w:val="20"/>
          <w:lang w:val="en-US" w:eastAsia="zh-CN" w:bidi="ar-SA"/>
        </w:rPr>
        <w:t>北京大学历史学系</w:t>
      </w:r>
      <w:r>
        <w:rPr>
          <w:rFonts w:hint="eastAsia" w:ascii="仿宋" w:hAnsi="仿宋" w:eastAsia="仿宋" w:cs="仿宋"/>
          <w:kern w:val="2"/>
          <w:sz w:val="32"/>
          <w:szCs w:val="20"/>
          <w:lang w:val="en-US" w:eastAsia="zh-CN" w:bidi="ar-SA"/>
        </w:rPr>
        <w:fldChar w:fldCharType="end"/>
      </w:r>
      <w:r>
        <w:rPr>
          <w:rFonts w:hint="eastAsia" w:ascii="仿宋" w:hAnsi="仿宋" w:eastAsia="仿宋" w:cs="仿宋"/>
          <w:kern w:val="2"/>
          <w:sz w:val="32"/>
          <w:szCs w:val="20"/>
          <w:lang w:val="en-US" w:eastAsia="zh-CN" w:bidi="ar-SA"/>
        </w:rPr>
        <w:t>教授，博士生导师。教育部</w:t>
      </w:r>
      <w:r>
        <w:rPr>
          <w:rFonts w:hint="eastAsia" w:ascii="仿宋" w:hAnsi="仿宋" w:eastAsia="仿宋" w:cs="仿宋"/>
          <w:kern w:val="2"/>
          <w:sz w:val="32"/>
          <w:szCs w:val="20"/>
          <w:lang w:val="en-US" w:eastAsia="zh-CN" w:bidi="ar-SA"/>
        </w:rPr>
        <w:fldChar w:fldCharType="begin"/>
      </w:r>
      <w:r>
        <w:rPr>
          <w:rFonts w:hint="eastAsia" w:ascii="仿宋" w:hAnsi="仿宋" w:eastAsia="仿宋" w:cs="仿宋"/>
          <w:kern w:val="2"/>
          <w:sz w:val="32"/>
          <w:szCs w:val="20"/>
          <w:lang w:val="en-US" w:eastAsia="zh-CN" w:bidi="ar-SA"/>
        </w:rPr>
        <w:instrText xml:space="preserve"> HYPERLINK "https://baike.baidu.com/item/%E9%95%BF%E6%B1%9F%E5%AD%A6%E8%80%85/3501759" \t "https://baike.baidu.com/item/%E9%98%8E%E6%AD%A5%E5%85%8B/_blank" </w:instrText>
      </w:r>
      <w:r>
        <w:rPr>
          <w:rFonts w:hint="eastAsia" w:ascii="仿宋" w:hAnsi="仿宋" w:eastAsia="仿宋" w:cs="仿宋"/>
          <w:kern w:val="2"/>
          <w:sz w:val="32"/>
          <w:szCs w:val="20"/>
          <w:lang w:val="en-US" w:eastAsia="zh-CN" w:bidi="ar-SA"/>
        </w:rPr>
        <w:fldChar w:fldCharType="separate"/>
      </w:r>
      <w:r>
        <w:rPr>
          <w:rFonts w:hint="eastAsia" w:ascii="仿宋" w:hAnsi="仿宋" w:eastAsia="仿宋" w:cs="仿宋"/>
          <w:kern w:val="2"/>
          <w:sz w:val="32"/>
          <w:szCs w:val="20"/>
          <w:lang w:val="en-US" w:eastAsia="zh-CN" w:bidi="ar-SA"/>
        </w:rPr>
        <w:t>长江学者</w:t>
      </w:r>
      <w:r>
        <w:rPr>
          <w:rFonts w:hint="eastAsia" w:ascii="仿宋" w:hAnsi="仿宋" w:eastAsia="仿宋" w:cs="仿宋"/>
          <w:kern w:val="2"/>
          <w:sz w:val="32"/>
          <w:szCs w:val="20"/>
          <w:lang w:val="en-US" w:eastAsia="zh-CN" w:bidi="ar-SA"/>
        </w:rPr>
        <w:fldChar w:fldCharType="end"/>
      </w:r>
      <w:r>
        <w:rPr>
          <w:rFonts w:hint="eastAsia" w:ascii="仿宋" w:hAnsi="仿宋" w:eastAsia="仿宋" w:cs="仿宋"/>
          <w:kern w:val="2"/>
          <w:sz w:val="32"/>
          <w:szCs w:val="20"/>
          <w:lang w:val="en-US" w:eastAsia="zh-CN" w:bidi="ar-SA"/>
        </w:rPr>
        <w:t>特聘教授，国家教学名师。</w:t>
      </w:r>
    </w:p>
    <w:p>
      <w:pPr>
        <w:rPr>
          <w:rFonts w:hint="eastAsia" w:ascii="仿宋" w:hAnsi="仿宋" w:eastAsia="仿宋" w:cs="仿宋"/>
          <w:kern w:val="2"/>
          <w:sz w:val="32"/>
          <w:szCs w:val="20"/>
          <w:lang w:val="en-US" w:eastAsia="zh-CN" w:bidi="ar-SA"/>
        </w:rPr>
      </w:pPr>
      <w:r>
        <w:rPr>
          <w:rFonts w:hint="eastAsia" w:ascii="仿宋" w:hAnsi="仿宋" w:eastAsia="仿宋" w:cs="仿宋"/>
          <w:b/>
          <w:bCs/>
          <w:kern w:val="2"/>
          <w:sz w:val="32"/>
          <w:szCs w:val="20"/>
          <w:lang w:val="en-US" w:eastAsia="zh-CN" w:bidi="ar-SA"/>
        </w:rPr>
        <w:t>赵冬梅：</w:t>
      </w:r>
      <w:r>
        <w:rPr>
          <w:rFonts w:hint="eastAsia" w:ascii="仿宋" w:hAnsi="仿宋" w:eastAsia="仿宋" w:cs="仿宋"/>
          <w:kern w:val="2"/>
          <w:sz w:val="32"/>
          <w:szCs w:val="20"/>
          <w:lang w:val="en-US" w:eastAsia="zh-CN" w:bidi="ar-SA"/>
        </w:rPr>
        <w:t xml:space="preserve">北京大学历史学系教授，博士生导师。主修宋史， 中国宋史研究会理事。 </w:t>
      </w:r>
    </w:p>
    <w:p>
      <w:pPr>
        <w:rPr>
          <w:rFonts w:hint="eastAsia" w:ascii="仿宋" w:hAnsi="仿宋" w:eastAsia="仿宋" w:cs="仿宋"/>
          <w:kern w:val="2"/>
          <w:sz w:val="32"/>
          <w:szCs w:val="20"/>
          <w:lang w:val="en-US" w:eastAsia="zh-CN" w:bidi="ar-SA"/>
        </w:rPr>
      </w:pPr>
      <w:r>
        <w:rPr>
          <w:rFonts w:hint="eastAsia" w:ascii="仿宋" w:hAnsi="仿宋" w:eastAsia="仿宋" w:cs="仿宋"/>
          <w:b/>
          <w:bCs/>
          <w:kern w:val="2"/>
          <w:sz w:val="32"/>
          <w:szCs w:val="20"/>
          <w:lang w:val="en-US" w:eastAsia="zh-CN" w:bidi="ar-SA"/>
        </w:rPr>
        <w:t>牛大勇</w:t>
      </w:r>
      <w:r>
        <w:rPr>
          <w:rFonts w:hint="eastAsia" w:ascii="仿宋" w:hAnsi="仿宋" w:eastAsia="仿宋" w:cs="仿宋"/>
          <w:kern w:val="2"/>
          <w:sz w:val="32"/>
          <w:szCs w:val="20"/>
          <w:lang w:val="en-US" w:eastAsia="zh-CN" w:bidi="ar-SA"/>
        </w:rPr>
        <w:t xml:space="preserve">：北京大学历史学系，致力于学术科研与教育。 </w:t>
      </w:r>
    </w:p>
    <w:p>
      <w:pPr>
        <w:rPr>
          <w:rFonts w:hint="eastAsia" w:ascii="仿宋" w:hAnsi="仿宋" w:eastAsia="仿宋" w:cs="仿宋"/>
          <w:kern w:val="2"/>
          <w:sz w:val="32"/>
          <w:szCs w:val="20"/>
          <w:lang w:val="en-US" w:eastAsia="zh-CN" w:bidi="ar-SA"/>
        </w:rPr>
      </w:pPr>
      <w:r>
        <w:rPr>
          <w:rFonts w:hint="eastAsia" w:ascii="仿宋" w:hAnsi="仿宋" w:eastAsia="仿宋" w:cs="仿宋"/>
          <w:b/>
          <w:bCs/>
          <w:kern w:val="2"/>
          <w:sz w:val="32"/>
          <w:szCs w:val="20"/>
          <w:lang w:val="en-US" w:eastAsia="zh-CN" w:bidi="ar-SA"/>
        </w:rPr>
        <w:t>杨立华</w:t>
      </w:r>
      <w:r>
        <w:rPr>
          <w:rFonts w:hint="eastAsia" w:ascii="仿宋" w:hAnsi="仿宋" w:eastAsia="仿宋" w:cs="仿宋"/>
          <w:kern w:val="2"/>
          <w:sz w:val="32"/>
          <w:szCs w:val="20"/>
          <w:lang w:val="en-US" w:eastAsia="zh-CN" w:bidi="ar-SA"/>
        </w:rPr>
        <w:t>：北京大学哲学系教授、博士生导师。</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黄 宏</w:t>
      </w:r>
      <w:r>
        <w:rPr>
          <w:rFonts w:hint="default" w:ascii="仿宋" w:hAnsi="仿宋" w:eastAsia="仿宋" w:cs="仿宋"/>
          <w:kern w:val="2"/>
          <w:sz w:val="32"/>
          <w:szCs w:val="20"/>
          <w:lang w:val="en-US" w:eastAsia="zh-CN" w:bidi="ar-SA"/>
        </w:rPr>
        <w:t>：商业模式、营销创新设计专家。</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刘海峰</w:t>
      </w:r>
      <w:r>
        <w:rPr>
          <w:rFonts w:hint="default" w:ascii="仿宋" w:hAnsi="仿宋" w:eastAsia="仿宋" w:cs="仿宋"/>
          <w:kern w:val="2"/>
          <w:sz w:val="32"/>
          <w:szCs w:val="20"/>
          <w:lang w:val="en-US" w:eastAsia="zh-CN" w:bidi="ar-SA"/>
        </w:rPr>
        <w:t>：著名品牌管理专家，国际品牌研究中心主任研究员。</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于洪波</w:t>
      </w:r>
      <w:r>
        <w:rPr>
          <w:rFonts w:hint="default" w:ascii="仿宋" w:hAnsi="仿宋" w:eastAsia="仿宋" w:cs="仿宋"/>
          <w:kern w:val="2"/>
          <w:sz w:val="32"/>
          <w:szCs w:val="20"/>
          <w:lang w:val="en-US" w:eastAsia="zh-CN" w:bidi="ar-SA"/>
        </w:rPr>
        <w:t>：著名项目管理专家。</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曾蓉华</w:t>
      </w:r>
      <w:r>
        <w:rPr>
          <w:rFonts w:hint="default" w:ascii="仿宋" w:hAnsi="仿宋" w:eastAsia="仿宋" w:cs="仿宋"/>
          <w:kern w:val="2"/>
          <w:sz w:val="32"/>
          <w:szCs w:val="20"/>
          <w:lang w:val="en-US" w:eastAsia="zh-CN" w:bidi="ar-SA"/>
        </w:rPr>
        <w:t>：四川大学商学院客座教授、中国营销学会理事、国际注册PTT训练师、世界500强企业培训总监、企业首席招聘官、多家民企资深顾问。</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崔佳颖</w:t>
      </w:r>
      <w:r>
        <w:rPr>
          <w:rFonts w:hint="default" w:ascii="仿宋" w:hAnsi="仿宋" w:eastAsia="仿宋" w:cs="仿宋"/>
          <w:kern w:val="2"/>
          <w:sz w:val="32"/>
          <w:szCs w:val="20"/>
          <w:lang w:val="en-US" w:eastAsia="zh-CN" w:bidi="ar-SA"/>
        </w:rPr>
        <w:t>：曾任首都经济贸易大学工商管理学院副院长、硕士研究生导师。</w:t>
      </w:r>
    </w:p>
    <w:p>
      <w:pPr>
        <w:rPr>
          <w:rFonts w:hint="eastAsia" w:ascii="仿宋" w:hAnsi="仿宋" w:eastAsia="仿宋" w:cs="仿宋"/>
          <w:kern w:val="2"/>
          <w:sz w:val="32"/>
          <w:szCs w:val="20"/>
          <w:lang w:val="en-US" w:eastAsia="zh-CN" w:bidi="ar-SA"/>
        </w:rPr>
      </w:pPr>
      <w:r>
        <w:rPr>
          <w:rFonts w:hint="eastAsia" w:ascii="仿宋" w:hAnsi="仿宋" w:eastAsia="仿宋" w:cs="仿宋"/>
          <w:b/>
          <w:bCs/>
          <w:kern w:val="2"/>
          <w:sz w:val="32"/>
          <w:szCs w:val="20"/>
          <w:lang w:val="en-US" w:eastAsia="zh-CN" w:bidi="ar-SA"/>
        </w:rPr>
        <w:t>许玉林：</w:t>
      </w:r>
      <w:r>
        <w:rPr>
          <w:rFonts w:hint="eastAsia" w:ascii="仿宋" w:hAnsi="仿宋" w:eastAsia="仿宋" w:cs="仿宋"/>
          <w:kern w:val="2"/>
          <w:sz w:val="32"/>
          <w:szCs w:val="20"/>
          <w:lang w:val="en-US" w:eastAsia="zh-CN" w:bidi="ar-SA"/>
        </w:rPr>
        <w:t>著名战略人力资源专家，</w:t>
      </w:r>
      <w:r>
        <w:rPr>
          <w:rFonts w:hint="eastAsia" w:ascii="仿宋" w:hAnsi="仿宋" w:eastAsia="仿宋" w:cs="仿宋"/>
          <w:kern w:val="2"/>
          <w:sz w:val="32"/>
          <w:szCs w:val="20"/>
          <w:lang w:val="en-US" w:eastAsia="zh-CN" w:bidi="ar-SA"/>
        </w:rPr>
        <w:fldChar w:fldCharType="begin"/>
      </w:r>
      <w:r>
        <w:rPr>
          <w:rFonts w:hint="eastAsia" w:ascii="仿宋" w:hAnsi="仿宋" w:eastAsia="仿宋" w:cs="仿宋"/>
          <w:kern w:val="2"/>
          <w:sz w:val="32"/>
          <w:szCs w:val="20"/>
          <w:lang w:val="en-US" w:eastAsia="zh-CN" w:bidi="ar-SA"/>
        </w:rPr>
        <w:instrText xml:space="preserve"> HYPERLINK "https://baike.baidu.com/item/%E4%B8%AD%E5%9B%BD%E4%BA%BA%E6%B0%91%E5%A4%A7%E5%AD%A6%E5%8A%B3%E5%8A%A8%E4%BA%BA%E4%BA%8B%E5%AD%A6%E9%99%A2/1302750" \t "https://baike.baidu.com/item/%E8%AE%B8%E7%8E%89%E6%9E%97/_blank" </w:instrText>
      </w:r>
      <w:r>
        <w:rPr>
          <w:rFonts w:hint="eastAsia" w:ascii="仿宋" w:hAnsi="仿宋" w:eastAsia="仿宋" w:cs="仿宋"/>
          <w:kern w:val="2"/>
          <w:sz w:val="32"/>
          <w:szCs w:val="20"/>
          <w:lang w:val="en-US" w:eastAsia="zh-CN" w:bidi="ar-SA"/>
        </w:rPr>
        <w:fldChar w:fldCharType="separate"/>
      </w:r>
      <w:r>
        <w:rPr>
          <w:rFonts w:hint="eastAsia" w:ascii="仿宋" w:hAnsi="仿宋" w:eastAsia="仿宋" w:cs="仿宋"/>
          <w:kern w:val="2"/>
          <w:sz w:val="32"/>
          <w:szCs w:val="20"/>
          <w:lang w:val="en-US" w:eastAsia="zh-CN" w:bidi="ar-SA"/>
        </w:rPr>
        <w:t>中国人民大学劳动人事学院</w:t>
      </w:r>
      <w:r>
        <w:rPr>
          <w:rFonts w:hint="eastAsia" w:ascii="仿宋" w:hAnsi="仿宋" w:eastAsia="仿宋" w:cs="仿宋"/>
          <w:kern w:val="2"/>
          <w:sz w:val="32"/>
          <w:szCs w:val="20"/>
          <w:lang w:val="en-US" w:eastAsia="zh-CN" w:bidi="ar-SA"/>
        </w:rPr>
        <w:fldChar w:fldCharType="end"/>
      </w:r>
      <w:r>
        <w:rPr>
          <w:rFonts w:hint="eastAsia" w:ascii="仿宋" w:hAnsi="仿宋" w:eastAsia="仿宋" w:cs="仿宋"/>
          <w:kern w:val="2"/>
          <w:sz w:val="32"/>
          <w:szCs w:val="20"/>
          <w:lang w:val="en-US" w:eastAsia="zh-CN" w:bidi="ar-SA"/>
        </w:rPr>
        <w:t>教授，美国加州</w:t>
      </w:r>
      <w:r>
        <w:rPr>
          <w:rFonts w:hint="eastAsia" w:ascii="仿宋" w:hAnsi="仿宋" w:eastAsia="仿宋" w:cs="仿宋"/>
          <w:kern w:val="2"/>
          <w:sz w:val="32"/>
          <w:szCs w:val="20"/>
          <w:lang w:val="en-US" w:eastAsia="zh-CN" w:bidi="ar-SA"/>
        </w:rPr>
        <w:fldChar w:fldCharType="begin"/>
      </w:r>
      <w:r>
        <w:rPr>
          <w:rFonts w:hint="eastAsia" w:ascii="仿宋" w:hAnsi="仿宋" w:eastAsia="仿宋" w:cs="仿宋"/>
          <w:kern w:val="2"/>
          <w:sz w:val="32"/>
          <w:szCs w:val="20"/>
          <w:lang w:val="en-US" w:eastAsia="zh-CN" w:bidi="ar-SA"/>
        </w:rPr>
        <w:instrText xml:space="preserve"> HYPERLINK "https://baike.baidu.com/item/%E4%BC%AF%E5%85%8B%E5%88%A9" \t "https://baike.baidu.com/item/%E8%AE%B8%E7%8E%89%E6%9E%97/_blank" </w:instrText>
      </w:r>
      <w:r>
        <w:rPr>
          <w:rFonts w:hint="eastAsia" w:ascii="仿宋" w:hAnsi="仿宋" w:eastAsia="仿宋" w:cs="仿宋"/>
          <w:kern w:val="2"/>
          <w:sz w:val="32"/>
          <w:szCs w:val="20"/>
          <w:lang w:val="en-US" w:eastAsia="zh-CN" w:bidi="ar-SA"/>
        </w:rPr>
        <w:fldChar w:fldCharType="separate"/>
      </w:r>
      <w:r>
        <w:rPr>
          <w:rFonts w:hint="eastAsia" w:ascii="仿宋" w:hAnsi="仿宋" w:eastAsia="仿宋" w:cs="仿宋"/>
          <w:kern w:val="2"/>
          <w:sz w:val="32"/>
          <w:szCs w:val="20"/>
          <w:lang w:val="en-US" w:eastAsia="zh-CN" w:bidi="ar-SA"/>
        </w:rPr>
        <w:t>伯克利</w:t>
      </w:r>
      <w:r>
        <w:rPr>
          <w:rFonts w:hint="eastAsia" w:ascii="仿宋" w:hAnsi="仿宋" w:eastAsia="仿宋" w:cs="仿宋"/>
          <w:kern w:val="2"/>
          <w:sz w:val="32"/>
          <w:szCs w:val="20"/>
          <w:lang w:val="en-US" w:eastAsia="zh-CN" w:bidi="ar-SA"/>
        </w:rPr>
        <w:fldChar w:fldCharType="end"/>
      </w:r>
      <w:r>
        <w:rPr>
          <w:rFonts w:hint="eastAsia" w:ascii="仿宋" w:hAnsi="仿宋" w:eastAsia="仿宋" w:cs="仿宋"/>
          <w:kern w:val="2"/>
          <w:sz w:val="32"/>
          <w:szCs w:val="20"/>
          <w:lang w:val="en-US" w:eastAsia="zh-CN" w:bidi="ar-SA"/>
        </w:rPr>
        <w:t>大学高级访问学者，博士生导师。</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陈云贤</w:t>
      </w:r>
      <w:r>
        <w:rPr>
          <w:rFonts w:hint="default" w:ascii="仿宋" w:hAnsi="仿宋" w:eastAsia="仿宋" w:cs="仿宋"/>
          <w:kern w:val="2"/>
          <w:sz w:val="32"/>
          <w:szCs w:val="20"/>
          <w:lang w:val="en-US" w:eastAsia="zh-CN" w:bidi="ar-SA"/>
        </w:rPr>
        <w:t>：广发证券创始人、广东省原副省长，享受国务院特殊津贴专家。</w:t>
      </w:r>
    </w:p>
    <w:p>
      <w:pPr>
        <w:rPr>
          <w:rFonts w:hint="eastAsia" w:ascii="仿宋" w:hAnsi="仿宋" w:eastAsia="仿宋" w:cs="仿宋"/>
          <w:kern w:val="2"/>
          <w:sz w:val="32"/>
          <w:szCs w:val="20"/>
          <w:lang w:val="en-US" w:eastAsia="zh-CN" w:bidi="ar-SA"/>
        </w:rPr>
      </w:pPr>
      <w:r>
        <w:rPr>
          <w:rFonts w:hint="eastAsia" w:ascii="仿宋" w:hAnsi="仿宋" w:eastAsia="仿宋" w:cs="仿宋"/>
          <w:b/>
          <w:bCs/>
          <w:kern w:val="2"/>
          <w:sz w:val="32"/>
          <w:szCs w:val="20"/>
          <w:lang w:val="en-US" w:eastAsia="zh-CN" w:bidi="ar-SA"/>
        </w:rPr>
        <w:t>宋俊生：</w:t>
      </w:r>
      <w:r>
        <w:rPr>
          <w:rFonts w:hint="eastAsia" w:ascii="仿宋" w:hAnsi="仿宋" w:eastAsia="仿宋" w:cs="仿宋"/>
          <w:kern w:val="2"/>
          <w:sz w:val="32"/>
          <w:szCs w:val="20"/>
          <w:lang w:val="en-US" w:eastAsia="zh-CN" w:bidi="ar-SA"/>
        </w:rPr>
        <w:t>北京市安博律师事务所执行主任、北京大学法学学士 、中国法学会培训中心特聘教授。</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刘尚希：</w:t>
      </w:r>
      <w:r>
        <w:rPr>
          <w:rFonts w:hint="default" w:ascii="仿宋" w:hAnsi="仿宋" w:eastAsia="仿宋" w:cs="仿宋"/>
          <w:kern w:val="2"/>
          <w:sz w:val="32"/>
          <w:szCs w:val="20"/>
          <w:lang w:val="en-US" w:eastAsia="zh-CN" w:bidi="ar-SA"/>
        </w:rPr>
        <w:t>中国财政科学研究院党委书记、院长（正司长级）。</w:t>
      </w:r>
    </w:p>
    <w:p>
      <w:pPr>
        <w:rPr>
          <w:rFonts w:hint="default" w:ascii="仿宋" w:hAnsi="仿宋" w:eastAsia="仿宋" w:cs="仿宋"/>
          <w:kern w:val="2"/>
          <w:sz w:val="32"/>
          <w:szCs w:val="20"/>
          <w:lang w:val="en-US" w:eastAsia="zh-CN" w:bidi="ar-SA"/>
        </w:rPr>
      </w:pPr>
      <w:r>
        <w:rPr>
          <w:rFonts w:hint="default" w:ascii="仿宋" w:hAnsi="仿宋" w:eastAsia="仿宋" w:cs="仿宋"/>
          <w:b/>
          <w:bCs/>
          <w:kern w:val="2"/>
          <w:sz w:val="32"/>
          <w:szCs w:val="20"/>
          <w:lang w:val="en-US" w:eastAsia="zh-CN" w:bidi="ar-SA"/>
        </w:rPr>
        <w:t>杨瑞龙</w:t>
      </w:r>
      <w:r>
        <w:rPr>
          <w:rFonts w:hint="default" w:ascii="仿宋" w:hAnsi="仿宋" w:eastAsia="仿宋" w:cs="仿宋"/>
          <w:kern w:val="2"/>
          <w:sz w:val="32"/>
          <w:szCs w:val="20"/>
          <w:lang w:val="en-US" w:eastAsia="zh-CN" w:bidi="ar-SA"/>
        </w:rPr>
        <w:t xml:space="preserve">：中国人民大学经济学院院长、教授、博士生导师。 </w:t>
      </w:r>
    </w:p>
    <w:p>
      <w:pPr>
        <w:rPr>
          <w:rFonts w:hint="eastAsia" w:ascii="仿宋" w:hAnsi="仿宋" w:eastAsia="仿宋" w:cs="仿宋"/>
          <w:kern w:val="2"/>
          <w:sz w:val="32"/>
          <w:szCs w:val="20"/>
          <w:lang w:val="en-US" w:eastAsia="zh-CN" w:bidi="ar-SA"/>
        </w:rPr>
      </w:pPr>
      <w:r>
        <w:rPr>
          <w:rFonts w:hint="eastAsia" w:ascii="仿宋" w:hAnsi="仿宋" w:eastAsia="仿宋" w:cs="仿宋"/>
          <w:b/>
          <w:bCs/>
          <w:kern w:val="2"/>
          <w:sz w:val="32"/>
          <w:szCs w:val="20"/>
          <w:lang w:val="en-US" w:eastAsia="zh-CN" w:bidi="ar-SA"/>
        </w:rPr>
        <w:t>傅小凡：</w:t>
      </w:r>
      <w:r>
        <w:rPr>
          <w:rFonts w:hint="eastAsia" w:ascii="仿宋" w:hAnsi="仿宋" w:eastAsia="仿宋" w:cs="仿宋"/>
          <w:kern w:val="2"/>
          <w:sz w:val="32"/>
          <w:szCs w:val="20"/>
          <w:lang w:val="en-US" w:eastAsia="zh-CN" w:bidi="ar-SA"/>
        </w:rPr>
        <w:fldChar w:fldCharType="begin"/>
      </w:r>
      <w:r>
        <w:rPr>
          <w:rFonts w:hint="eastAsia" w:ascii="仿宋" w:hAnsi="仿宋" w:eastAsia="仿宋" w:cs="仿宋"/>
          <w:kern w:val="2"/>
          <w:sz w:val="32"/>
          <w:szCs w:val="20"/>
          <w:lang w:val="en-US" w:eastAsia="zh-CN" w:bidi="ar-SA"/>
        </w:rPr>
        <w:instrText xml:space="preserve"> HYPERLINK "https://baike.baidu.com/item/%E5%8E%A6%E9%97%A8%E5%A4%A7%E5%AD%A6" \t "_blank" </w:instrText>
      </w:r>
      <w:r>
        <w:rPr>
          <w:rFonts w:hint="eastAsia" w:ascii="仿宋" w:hAnsi="仿宋" w:eastAsia="仿宋" w:cs="仿宋"/>
          <w:kern w:val="2"/>
          <w:sz w:val="32"/>
          <w:szCs w:val="20"/>
          <w:lang w:val="en-US" w:eastAsia="zh-CN" w:bidi="ar-SA"/>
        </w:rPr>
        <w:fldChar w:fldCharType="separate"/>
      </w:r>
      <w:r>
        <w:rPr>
          <w:rFonts w:hint="eastAsia" w:ascii="仿宋" w:hAnsi="仿宋" w:eastAsia="仿宋" w:cs="仿宋"/>
          <w:kern w:val="2"/>
          <w:sz w:val="32"/>
          <w:szCs w:val="20"/>
          <w:lang w:val="en-US" w:eastAsia="zh-CN" w:bidi="ar-SA"/>
        </w:rPr>
        <w:t>厦门大学</w:t>
      </w:r>
      <w:r>
        <w:rPr>
          <w:rFonts w:hint="eastAsia" w:ascii="仿宋" w:hAnsi="仿宋" w:eastAsia="仿宋" w:cs="仿宋"/>
          <w:kern w:val="2"/>
          <w:sz w:val="32"/>
          <w:szCs w:val="20"/>
          <w:lang w:val="en-US" w:eastAsia="zh-CN" w:bidi="ar-SA"/>
        </w:rPr>
        <w:fldChar w:fldCharType="end"/>
      </w:r>
      <w:r>
        <w:rPr>
          <w:rFonts w:hint="eastAsia" w:ascii="仿宋" w:hAnsi="仿宋" w:eastAsia="仿宋" w:cs="仿宋"/>
          <w:kern w:val="2"/>
          <w:sz w:val="32"/>
          <w:szCs w:val="20"/>
          <w:lang w:val="en-US" w:eastAsia="zh-CN" w:bidi="ar-SA"/>
        </w:rPr>
        <w:t>人文学院哲学系、宗教学研究所教授，博士研究生导师，央视《</w:t>
      </w:r>
      <w:r>
        <w:rPr>
          <w:rFonts w:hint="eastAsia" w:ascii="仿宋" w:hAnsi="仿宋" w:eastAsia="仿宋" w:cs="仿宋"/>
          <w:kern w:val="2"/>
          <w:sz w:val="32"/>
          <w:szCs w:val="20"/>
          <w:lang w:val="en-US" w:eastAsia="zh-CN" w:bidi="ar-SA"/>
        </w:rPr>
        <w:fldChar w:fldCharType="begin"/>
      </w:r>
      <w:r>
        <w:rPr>
          <w:rFonts w:hint="eastAsia" w:ascii="仿宋" w:hAnsi="仿宋" w:eastAsia="仿宋" w:cs="仿宋"/>
          <w:kern w:val="2"/>
          <w:sz w:val="32"/>
          <w:szCs w:val="20"/>
          <w:lang w:val="en-US" w:eastAsia="zh-CN" w:bidi="ar-SA"/>
        </w:rPr>
        <w:instrText xml:space="preserve"> HYPERLINK "https://baike.baidu.com/item/%E7%99%BE%E5%AE%B6%E8%AE%B2%E5%9D%9B/167" \t "_blank" </w:instrText>
      </w:r>
      <w:r>
        <w:rPr>
          <w:rFonts w:hint="eastAsia" w:ascii="仿宋" w:hAnsi="仿宋" w:eastAsia="仿宋" w:cs="仿宋"/>
          <w:kern w:val="2"/>
          <w:sz w:val="32"/>
          <w:szCs w:val="20"/>
          <w:lang w:val="en-US" w:eastAsia="zh-CN" w:bidi="ar-SA"/>
        </w:rPr>
        <w:fldChar w:fldCharType="separate"/>
      </w:r>
      <w:r>
        <w:rPr>
          <w:rFonts w:hint="eastAsia" w:ascii="仿宋" w:hAnsi="仿宋" w:eastAsia="仿宋" w:cs="仿宋"/>
          <w:kern w:val="2"/>
          <w:sz w:val="32"/>
          <w:szCs w:val="20"/>
          <w:lang w:val="en-US" w:eastAsia="zh-CN" w:bidi="ar-SA"/>
        </w:rPr>
        <w:t>百家讲坛</w:t>
      </w:r>
      <w:r>
        <w:rPr>
          <w:rFonts w:hint="eastAsia" w:ascii="仿宋" w:hAnsi="仿宋" w:eastAsia="仿宋" w:cs="仿宋"/>
          <w:kern w:val="2"/>
          <w:sz w:val="32"/>
          <w:szCs w:val="20"/>
          <w:lang w:val="en-US" w:eastAsia="zh-CN" w:bidi="ar-SA"/>
        </w:rPr>
        <w:fldChar w:fldCharType="end"/>
      </w:r>
      <w:r>
        <w:rPr>
          <w:rFonts w:hint="eastAsia" w:ascii="仿宋" w:hAnsi="仿宋" w:eastAsia="仿宋" w:cs="仿宋"/>
          <w:kern w:val="2"/>
          <w:sz w:val="32"/>
          <w:szCs w:val="20"/>
          <w:lang w:val="en-US" w:eastAsia="zh-CN" w:bidi="ar-SA"/>
        </w:rPr>
        <w:t>》主讲人，代表作品： CCTV百家讲坛《崇祯那些年》、《大明疑案》。</w:t>
      </w:r>
    </w:p>
    <w:p>
      <w:pPr>
        <w:adjustRightInd w:val="0"/>
        <w:snapToGrid w:val="0"/>
        <w:spacing w:line="560" w:lineRule="exact"/>
        <w:outlineLvl w:val="0"/>
        <w:rPr>
          <w:rFonts w:hint="eastAsia" w:ascii="宋体" w:hAnsi="宋体"/>
          <w:b/>
          <w:color w:val="auto"/>
          <w:sz w:val="32"/>
        </w:rPr>
      </w:pPr>
      <w:r>
        <w:rPr>
          <w:rFonts w:hint="eastAsia" w:ascii="宋体" w:hAnsi="宋体"/>
          <w:b/>
          <w:color w:val="auto"/>
          <w:sz w:val="32"/>
          <w:lang w:eastAsia="zh-CN"/>
        </w:rPr>
        <w:t>七、</w:t>
      </w:r>
      <w:r>
        <w:rPr>
          <w:rFonts w:hint="eastAsia" w:ascii="宋体" w:hAnsi="宋体"/>
          <w:b/>
          <w:color w:val="auto"/>
          <w:sz w:val="32"/>
        </w:rPr>
        <w:t>学习安排</w:t>
      </w:r>
    </w:p>
    <w:p>
      <w:pPr>
        <w:adjustRightInd w:val="0"/>
        <w:snapToGrid w:val="0"/>
        <w:spacing w:line="560" w:lineRule="exact"/>
        <w:ind w:firstLine="640"/>
        <w:rPr>
          <w:rFonts w:hint="eastAsia" w:ascii="仿宋" w:hAnsi="仿宋" w:eastAsia="仿宋" w:cs="仿宋"/>
          <w:spacing w:val="8"/>
          <w:sz w:val="30"/>
          <w:szCs w:val="30"/>
        </w:rPr>
      </w:pPr>
      <w:r>
        <w:rPr>
          <w:rFonts w:hint="eastAsia" w:ascii="楷体" w:hAnsi="楷体" w:eastAsia="楷体" w:cs="Arial"/>
          <w:b/>
          <w:color w:val="auto"/>
          <w:sz w:val="32"/>
          <w:szCs w:val="21"/>
        </w:rPr>
        <w:t>教学安排</w:t>
      </w:r>
      <w:r>
        <w:rPr>
          <w:rFonts w:hint="eastAsia" w:ascii="楷体" w:hAnsi="楷体" w:eastAsia="楷体"/>
          <w:bCs/>
          <w:color w:val="auto"/>
          <w:sz w:val="32"/>
        </w:rPr>
        <w:t>：</w:t>
      </w:r>
      <w:r>
        <w:rPr>
          <w:rFonts w:hint="eastAsia" w:ascii="仿宋" w:hAnsi="仿宋" w:eastAsia="仿宋" w:cs="仿宋"/>
          <w:spacing w:val="8"/>
          <w:sz w:val="30"/>
          <w:szCs w:val="30"/>
        </w:rPr>
        <w:t>集中授课，每月2</w:t>
      </w:r>
      <w:r>
        <w:rPr>
          <w:rFonts w:hint="eastAsia" w:ascii="仿宋" w:hAnsi="仿宋" w:eastAsia="仿宋" w:cs="仿宋"/>
          <w:spacing w:val="8"/>
          <w:sz w:val="30"/>
          <w:szCs w:val="30"/>
          <w:lang w:val="en-US" w:eastAsia="zh-CN"/>
        </w:rPr>
        <w:t>-3</w:t>
      </w:r>
      <w:r>
        <w:rPr>
          <w:rFonts w:hint="eastAsia" w:ascii="仿宋" w:hAnsi="仿宋" w:eastAsia="仿宋" w:cs="仿宋"/>
          <w:spacing w:val="8"/>
          <w:sz w:val="30"/>
          <w:szCs w:val="30"/>
        </w:rPr>
        <w:t>天学习，授课20天（160课时），学制一年。</w:t>
      </w:r>
    </w:p>
    <w:p>
      <w:pPr>
        <w:adjustRightInd w:val="0"/>
        <w:snapToGrid w:val="0"/>
        <w:spacing w:line="560" w:lineRule="exact"/>
        <w:ind w:firstLine="640"/>
        <w:rPr>
          <w:rFonts w:ascii="仿宋" w:hAnsi="仿宋" w:eastAsia="仿宋" w:cs="仿宋"/>
          <w:color w:val="auto"/>
          <w:spacing w:val="8"/>
          <w:sz w:val="30"/>
          <w:szCs w:val="30"/>
        </w:rPr>
      </w:pPr>
      <w:r>
        <w:rPr>
          <w:rFonts w:hint="eastAsia" w:ascii="楷体" w:hAnsi="楷体" w:eastAsia="楷体"/>
          <w:b/>
          <w:color w:val="auto"/>
          <w:sz w:val="32"/>
        </w:rPr>
        <w:t>班级规模</w:t>
      </w:r>
      <w:r>
        <w:rPr>
          <w:rFonts w:hint="eastAsia" w:ascii="仿宋" w:hAnsi="仿宋" w:eastAsia="仿宋"/>
          <w:bCs/>
          <w:color w:val="auto"/>
          <w:sz w:val="32"/>
        </w:rPr>
        <w:t>：</w:t>
      </w:r>
      <w:r>
        <w:rPr>
          <w:rFonts w:hint="eastAsia" w:ascii="仿宋" w:hAnsi="仿宋" w:eastAsia="仿宋" w:cs="仿宋"/>
          <w:color w:val="auto"/>
          <w:spacing w:val="8"/>
          <w:sz w:val="30"/>
          <w:szCs w:val="30"/>
        </w:rPr>
        <w:t>山西班人数计划50</w:t>
      </w:r>
      <w:r>
        <w:rPr>
          <w:rFonts w:ascii="仿宋" w:hAnsi="仿宋" w:eastAsia="仿宋" w:cs="仿宋"/>
          <w:color w:val="auto"/>
          <w:spacing w:val="8"/>
          <w:sz w:val="30"/>
          <w:szCs w:val="30"/>
        </w:rPr>
        <w:t>名，</w:t>
      </w:r>
      <w:r>
        <w:rPr>
          <w:rFonts w:hint="eastAsia" w:ascii="仿宋" w:hAnsi="仿宋" w:eastAsia="仿宋" w:cs="仿宋"/>
          <w:color w:val="auto"/>
          <w:spacing w:val="8"/>
          <w:sz w:val="30"/>
          <w:szCs w:val="30"/>
          <w:lang w:eastAsia="zh-CN"/>
        </w:rPr>
        <w:t>如有特殊情况，经山西省小企业发展促进局同意，可适当调整</w:t>
      </w:r>
      <w:r>
        <w:rPr>
          <w:rFonts w:ascii="仿宋" w:hAnsi="仿宋" w:eastAsia="仿宋" w:cs="仿宋"/>
          <w:color w:val="auto"/>
          <w:spacing w:val="8"/>
          <w:sz w:val="30"/>
          <w:szCs w:val="30"/>
        </w:rPr>
        <w:t>。</w:t>
      </w:r>
    </w:p>
    <w:p>
      <w:pPr>
        <w:widowControl/>
        <w:adjustRightInd w:val="0"/>
        <w:snapToGrid w:val="0"/>
        <w:spacing w:line="500" w:lineRule="exact"/>
        <w:ind w:firstLine="642" w:firstLineChars="200"/>
        <w:textAlignment w:val="center"/>
        <w:rPr>
          <w:rFonts w:hint="eastAsia" w:ascii="仿宋" w:hAnsi="仿宋" w:eastAsia="仿宋"/>
          <w:bCs/>
          <w:color w:val="auto"/>
          <w:sz w:val="32"/>
        </w:rPr>
      </w:pPr>
      <w:r>
        <w:rPr>
          <w:rFonts w:hint="eastAsia" w:ascii="楷体" w:hAnsi="楷体" w:eastAsia="楷体"/>
          <w:b/>
          <w:color w:val="auto"/>
          <w:sz w:val="32"/>
        </w:rPr>
        <w:t>授课地点：</w:t>
      </w:r>
      <w:r>
        <w:rPr>
          <w:rFonts w:hint="eastAsia" w:ascii="仿宋" w:hAnsi="仿宋" w:eastAsia="仿宋" w:cs="仿宋"/>
          <w:color w:val="auto"/>
          <w:spacing w:val="8"/>
          <w:sz w:val="30"/>
          <w:szCs w:val="30"/>
          <w:lang w:eastAsia="zh-CN"/>
        </w:rPr>
        <w:t>以北京大学授课为主，每期培训分别选择北京大学教学基地、知名大学、</w:t>
      </w:r>
      <w:r>
        <w:rPr>
          <w:rFonts w:hint="eastAsia" w:ascii="仿宋" w:hAnsi="仿宋" w:eastAsia="仿宋" w:cs="仿宋"/>
          <w:color w:val="auto"/>
          <w:spacing w:val="8"/>
          <w:sz w:val="30"/>
          <w:szCs w:val="30"/>
          <w:lang w:val="en-US" w:eastAsia="zh-CN"/>
        </w:rPr>
        <w:t>知名企业</w:t>
      </w:r>
      <w:r>
        <w:rPr>
          <w:rFonts w:hint="eastAsia" w:ascii="仿宋" w:hAnsi="仿宋" w:eastAsia="仿宋" w:cs="仿宋"/>
          <w:color w:val="auto"/>
          <w:spacing w:val="8"/>
          <w:sz w:val="30"/>
          <w:szCs w:val="30"/>
          <w:lang w:eastAsia="zh-CN"/>
        </w:rPr>
        <w:t>作为上课地点，采用</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进</w:t>
      </w:r>
      <w:r>
        <w:rPr>
          <w:rFonts w:hint="eastAsia" w:ascii="仿宋" w:hAnsi="仿宋" w:eastAsia="仿宋"/>
          <w:color w:val="auto"/>
          <w:sz w:val="32"/>
          <w:szCs w:val="21"/>
          <w:lang w:eastAsia="zh-CN"/>
        </w:rPr>
        <w:t>名校、访名企、</w:t>
      </w:r>
      <w:r>
        <w:rPr>
          <w:rFonts w:hint="eastAsia" w:ascii="仿宋" w:hAnsi="仿宋" w:eastAsia="仿宋"/>
          <w:color w:val="auto"/>
          <w:sz w:val="32"/>
          <w:szCs w:val="21"/>
          <w:lang w:val="en-US" w:eastAsia="zh-CN"/>
        </w:rPr>
        <w:t>走</w:t>
      </w:r>
      <w:r>
        <w:rPr>
          <w:rFonts w:hint="eastAsia" w:ascii="仿宋" w:hAnsi="仿宋" w:eastAsia="仿宋"/>
          <w:color w:val="auto"/>
          <w:sz w:val="32"/>
          <w:szCs w:val="21"/>
          <w:lang w:eastAsia="zh-CN"/>
        </w:rPr>
        <w:t>名城”</w:t>
      </w:r>
      <w:r>
        <w:rPr>
          <w:rFonts w:hint="eastAsia" w:ascii="仿宋" w:hAnsi="仿宋" w:eastAsia="仿宋" w:cs="仿宋"/>
          <w:color w:val="auto"/>
          <w:spacing w:val="8"/>
          <w:sz w:val="30"/>
          <w:szCs w:val="30"/>
        </w:rPr>
        <w:t>方式</w:t>
      </w:r>
      <w:r>
        <w:rPr>
          <w:rFonts w:hint="eastAsia" w:ascii="仿宋" w:hAnsi="仿宋" w:eastAsia="仿宋" w:cs="仿宋"/>
          <w:color w:val="auto"/>
          <w:spacing w:val="8"/>
          <w:sz w:val="30"/>
          <w:szCs w:val="30"/>
          <w:lang w:eastAsia="zh-CN"/>
        </w:rPr>
        <w:t>。拟订授课地点（排序不分先后）：杭州</w:t>
      </w:r>
      <w:r>
        <w:rPr>
          <w:rFonts w:hint="eastAsia" w:ascii="仿宋" w:hAnsi="仿宋" w:eastAsia="仿宋" w:cs="仿宋"/>
          <w:color w:val="auto"/>
          <w:spacing w:val="8"/>
          <w:sz w:val="30"/>
          <w:szCs w:val="30"/>
        </w:rPr>
        <w:t>、</w:t>
      </w:r>
      <w:r>
        <w:rPr>
          <w:rFonts w:hint="eastAsia" w:ascii="仿宋" w:hAnsi="仿宋" w:eastAsia="仿宋" w:cs="仿宋"/>
          <w:color w:val="auto"/>
          <w:spacing w:val="8"/>
          <w:sz w:val="30"/>
          <w:szCs w:val="30"/>
          <w:lang w:eastAsia="zh-CN"/>
        </w:rPr>
        <w:t>南京</w:t>
      </w:r>
      <w:r>
        <w:rPr>
          <w:rFonts w:hint="eastAsia" w:ascii="仿宋" w:hAnsi="仿宋" w:eastAsia="仿宋" w:cs="仿宋"/>
          <w:color w:val="auto"/>
          <w:spacing w:val="8"/>
          <w:sz w:val="30"/>
          <w:szCs w:val="30"/>
        </w:rPr>
        <w:t>、</w:t>
      </w:r>
      <w:r>
        <w:rPr>
          <w:rFonts w:hint="eastAsia" w:ascii="仿宋" w:hAnsi="仿宋" w:eastAsia="仿宋" w:cs="仿宋"/>
          <w:color w:val="auto"/>
          <w:spacing w:val="8"/>
          <w:sz w:val="30"/>
          <w:szCs w:val="30"/>
          <w:lang w:eastAsia="zh-CN"/>
        </w:rPr>
        <w:t>厦门大学</w:t>
      </w:r>
      <w:r>
        <w:rPr>
          <w:rFonts w:hint="eastAsia" w:ascii="仿宋" w:hAnsi="仿宋" w:eastAsia="仿宋" w:cs="仿宋"/>
          <w:color w:val="auto"/>
          <w:spacing w:val="8"/>
          <w:sz w:val="30"/>
          <w:szCs w:val="30"/>
        </w:rPr>
        <w:t>、</w:t>
      </w:r>
      <w:r>
        <w:rPr>
          <w:rFonts w:hint="eastAsia" w:ascii="仿宋" w:hAnsi="仿宋" w:eastAsia="仿宋" w:cs="仿宋"/>
          <w:color w:val="auto"/>
          <w:spacing w:val="8"/>
          <w:sz w:val="30"/>
          <w:szCs w:val="30"/>
          <w:lang w:eastAsia="zh-CN"/>
        </w:rPr>
        <w:t>西安交通大学</w:t>
      </w:r>
      <w:r>
        <w:rPr>
          <w:rFonts w:hint="eastAsia" w:ascii="仿宋" w:hAnsi="仿宋" w:eastAsia="仿宋" w:cs="仿宋"/>
          <w:color w:val="auto"/>
          <w:spacing w:val="8"/>
          <w:sz w:val="30"/>
          <w:szCs w:val="30"/>
        </w:rPr>
        <w:t>、</w:t>
      </w:r>
      <w:r>
        <w:rPr>
          <w:rFonts w:hint="eastAsia" w:ascii="仿宋" w:hAnsi="仿宋" w:eastAsia="仿宋" w:cs="仿宋"/>
          <w:color w:val="auto"/>
          <w:spacing w:val="8"/>
          <w:sz w:val="30"/>
          <w:szCs w:val="30"/>
          <w:lang w:eastAsia="zh-CN"/>
        </w:rPr>
        <w:t>苏州</w:t>
      </w:r>
      <w:r>
        <w:rPr>
          <w:rFonts w:hint="eastAsia" w:ascii="仿宋" w:hAnsi="仿宋" w:eastAsia="仿宋" w:cs="仿宋"/>
          <w:color w:val="auto"/>
          <w:spacing w:val="8"/>
          <w:sz w:val="30"/>
          <w:szCs w:val="30"/>
        </w:rPr>
        <w:t>等地</w:t>
      </w:r>
      <w:r>
        <w:rPr>
          <w:rFonts w:hint="eastAsia" w:ascii="仿宋" w:hAnsi="仿宋" w:eastAsia="仿宋" w:cs="仿宋"/>
          <w:color w:val="auto"/>
          <w:spacing w:val="8"/>
          <w:sz w:val="30"/>
          <w:szCs w:val="30"/>
          <w:lang w:eastAsia="zh-CN"/>
        </w:rPr>
        <w:t>，如遇特殊情况，经山西省小企业发展促进局同意，可作适当调换。</w:t>
      </w:r>
    </w:p>
    <w:p>
      <w:pPr>
        <w:adjustRightInd w:val="0"/>
        <w:snapToGrid w:val="0"/>
        <w:spacing w:line="560" w:lineRule="exact"/>
        <w:rPr>
          <w:rFonts w:hint="eastAsia" w:ascii="仿宋" w:hAnsi="仿宋" w:eastAsia="仿宋"/>
          <w:bCs/>
          <w:color w:val="auto"/>
          <w:sz w:val="32"/>
        </w:rPr>
      </w:pPr>
      <w:r>
        <w:rPr>
          <w:rFonts w:hint="eastAsia"/>
          <w:b/>
          <w:bCs/>
          <w:color w:val="auto"/>
          <w:sz w:val="32"/>
        </w:rPr>
        <w:t xml:space="preserve">    </w:t>
      </w:r>
      <w:r>
        <w:rPr>
          <w:rFonts w:hint="eastAsia" w:ascii="楷体" w:hAnsi="楷体" w:eastAsia="楷体"/>
          <w:b/>
          <w:bCs/>
          <w:color w:val="auto"/>
          <w:sz w:val="32"/>
        </w:rPr>
        <w:t>研修费用</w:t>
      </w:r>
      <w:r>
        <w:rPr>
          <w:rFonts w:hint="eastAsia" w:ascii="楷体" w:hAnsi="楷体" w:eastAsia="楷体"/>
          <w:color w:val="auto"/>
          <w:sz w:val="32"/>
        </w:rPr>
        <w:t>：</w:t>
      </w:r>
      <w:r>
        <w:rPr>
          <w:rFonts w:hint="eastAsia" w:ascii="仿宋" w:hAnsi="仿宋" w:eastAsia="仿宋"/>
          <w:bCs/>
          <w:color w:val="auto"/>
          <w:sz w:val="32"/>
        </w:rPr>
        <w:t>培训费用</w:t>
      </w:r>
      <w:r>
        <w:rPr>
          <w:rFonts w:hint="eastAsia" w:ascii="仿宋" w:hAnsi="仿宋" w:eastAsia="仿宋"/>
          <w:bCs/>
          <w:color w:val="auto"/>
          <w:sz w:val="32"/>
          <w:lang w:val="en-US" w:eastAsia="zh-CN"/>
        </w:rPr>
        <w:t>51</w:t>
      </w:r>
      <w:r>
        <w:rPr>
          <w:rFonts w:hint="eastAsia" w:ascii="仿宋" w:hAnsi="仿宋" w:eastAsia="仿宋"/>
          <w:bCs/>
          <w:color w:val="auto"/>
          <w:sz w:val="32"/>
        </w:rPr>
        <w:t>800元，其中，工信部补贴每人10000元，由省局选拔推荐的领军人才，学费每人减免</w:t>
      </w:r>
      <w:r>
        <w:rPr>
          <w:rFonts w:hint="eastAsia" w:ascii="仿宋" w:hAnsi="仿宋" w:eastAsia="仿宋"/>
          <w:bCs/>
          <w:color w:val="auto"/>
          <w:sz w:val="32"/>
          <w:lang w:val="en-US" w:eastAsia="zh-CN"/>
        </w:rPr>
        <w:t>6</w:t>
      </w:r>
      <w:r>
        <w:rPr>
          <w:rFonts w:hint="eastAsia" w:ascii="仿宋" w:hAnsi="仿宋" w:eastAsia="仿宋"/>
          <w:bCs/>
          <w:color w:val="auto"/>
          <w:sz w:val="32"/>
        </w:rPr>
        <w:t>000元，补贴、减免后，实际每人自费</w:t>
      </w:r>
      <w:r>
        <w:rPr>
          <w:rFonts w:hint="eastAsia" w:ascii="仿宋" w:hAnsi="仿宋" w:eastAsia="仿宋"/>
          <w:bCs/>
          <w:color w:val="auto"/>
          <w:sz w:val="32"/>
          <w:lang w:val="en-US" w:eastAsia="zh-CN"/>
        </w:rPr>
        <w:t>35</w:t>
      </w:r>
      <w:r>
        <w:rPr>
          <w:rFonts w:hint="eastAsia" w:ascii="仿宋" w:hAnsi="仿宋" w:eastAsia="仿宋"/>
          <w:bCs/>
          <w:color w:val="auto"/>
          <w:sz w:val="32"/>
        </w:rPr>
        <w:t>800元。交通食宿费</w:t>
      </w:r>
      <w:r>
        <w:rPr>
          <w:rFonts w:hint="eastAsia" w:ascii="仿宋" w:hAnsi="仿宋" w:eastAsia="仿宋"/>
          <w:bCs/>
          <w:color w:val="auto"/>
          <w:sz w:val="32"/>
          <w:lang w:eastAsia="zh-CN"/>
        </w:rPr>
        <w:t>、</w:t>
      </w:r>
      <w:r>
        <w:rPr>
          <w:rFonts w:hint="eastAsia" w:ascii="仿宋" w:hAnsi="仿宋" w:eastAsia="仿宋"/>
          <w:bCs/>
          <w:color w:val="auto"/>
          <w:sz w:val="32"/>
          <w:lang w:val="en-US" w:eastAsia="zh-CN"/>
        </w:rPr>
        <w:t>班费等</w:t>
      </w:r>
      <w:r>
        <w:rPr>
          <w:rFonts w:hint="eastAsia" w:ascii="仿宋" w:hAnsi="仿宋" w:eastAsia="仿宋"/>
          <w:bCs/>
          <w:color w:val="auto"/>
          <w:sz w:val="32"/>
        </w:rPr>
        <w:t>自理。</w:t>
      </w:r>
    </w:p>
    <w:p>
      <w:pPr>
        <w:adjustRightInd w:val="0"/>
        <w:snapToGrid w:val="0"/>
        <w:spacing w:line="560" w:lineRule="exact"/>
        <w:jc w:val="left"/>
        <w:rPr>
          <w:rFonts w:hint="eastAsia" w:ascii="仿宋" w:hAnsi="仿宋" w:eastAsia="仿宋"/>
          <w:color w:val="auto"/>
          <w:sz w:val="32"/>
        </w:rPr>
      </w:pPr>
      <w:r>
        <w:rPr>
          <w:rFonts w:hint="eastAsia"/>
          <w:b/>
          <w:bCs/>
          <w:color w:val="auto"/>
          <w:sz w:val="32"/>
        </w:rPr>
        <w:t xml:space="preserve">   </w:t>
      </w:r>
      <w:r>
        <w:rPr>
          <w:rFonts w:hint="eastAsia" w:ascii="楷体" w:hAnsi="楷体" w:eastAsia="楷体"/>
          <w:b/>
          <w:bCs/>
          <w:color w:val="auto"/>
          <w:sz w:val="32"/>
        </w:rPr>
        <w:t xml:space="preserve"> 学员管理：</w:t>
      </w:r>
      <w:r>
        <w:rPr>
          <w:rFonts w:hint="eastAsia" w:ascii="仿宋" w:hAnsi="仿宋" w:eastAsia="仿宋" w:cs="Arial"/>
          <w:snapToGrid w:val="0"/>
          <w:color w:val="auto"/>
          <w:kern w:val="0"/>
          <w:sz w:val="32"/>
          <w:szCs w:val="21"/>
        </w:rPr>
        <w:t>学员完成报名程序，有关资料将转入</w:t>
      </w:r>
      <w:r>
        <w:rPr>
          <w:rFonts w:hint="eastAsia" w:ascii="仿宋" w:hAnsi="仿宋" w:eastAsia="仿宋" w:cs="Arial"/>
          <w:snapToGrid w:val="0"/>
          <w:color w:val="auto"/>
          <w:kern w:val="0"/>
          <w:sz w:val="32"/>
          <w:szCs w:val="21"/>
          <w:lang w:eastAsia="zh-CN"/>
        </w:rPr>
        <w:t>北京大学经济学院</w:t>
      </w:r>
      <w:r>
        <w:rPr>
          <w:rFonts w:hint="eastAsia" w:ascii="仿宋" w:hAnsi="仿宋" w:eastAsia="仿宋" w:cs="Arial"/>
          <w:snapToGrid w:val="0"/>
          <w:color w:val="auto"/>
          <w:kern w:val="0"/>
          <w:sz w:val="32"/>
          <w:szCs w:val="21"/>
        </w:rPr>
        <w:t>备案，进行统一管理，建立领军人才信息库，同时进入领军人才数据库备案，对学员实行跟踪管理；班级配备辅导员1名，由工业和信息化部门人才交流中心统一选派，班主任负责整个班级的教学管理与服务工作；建立班委会制度，更好的促进同学之间交流。</w:t>
      </w:r>
    </w:p>
    <w:p>
      <w:pPr>
        <w:adjustRightInd w:val="0"/>
        <w:snapToGrid w:val="0"/>
        <w:spacing w:line="560" w:lineRule="exact"/>
        <w:rPr>
          <w:rFonts w:hint="eastAsia" w:ascii="仿宋" w:hAnsi="仿宋" w:eastAsia="仿宋" w:cs="Arial"/>
          <w:snapToGrid w:val="0"/>
          <w:color w:val="auto"/>
          <w:kern w:val="0"/>
          <w:sz w:val="32"/>
          <w:szCs w:val="21"/>
        </w:rPr>
      </w:pPr>
      <w:r>
        <w:rPr>
          <w:rFonts w:hint="eastAsia"/>
          <w:b/>
          <w:bCs/>
          <w:color w:val="auto"/>
          <w:sz w:val="32"/>
        </w:rPr>
        <w:t xml:space="preserve">   </w:t>
      </w:r>
      <w:r>
        <w:rPr>
          <w:rFonts w:hint="eastAsia" w:ascii="楷体" w:hAnsi="楷体" w:eastAsia="楷体"/>
          <w:b/>
          <w:bCs/>
          <w:color w:val="auto"/>
          <w:sz w:val="32"/>
        </w:rPr>
        <w:t xml:space="preserve"> 证书授予：</w:t>
      </w:r>
      <w:r>
        <w:rPr>
          <w:rFonts w:hint="eastAsia" w:ascii="仿宋" w:hAnsi="仿宋" w:eastAsia="仿宋" w:cs="Arial"/>
          <w:snapToGrid w:val="0"/>
          <w:color w:val="auto"/>
          <w:kern w:val="0"/>
          <w:sz w:val="32"/>
          <w:szCs w:val="21"/>
        </w:rPr>
        <w:t>证书授予采取“双证”模式，学员通过全部课程并考核合格后，颁发由工业和信息化部企业经营管理人才素质提升工程协调小组办公室统一管理的“中小企业经营管理领军人才”证书；颁发</w:t>
      </w:r>
      <w:r>
        <w:rPr>
          <w:rFonts w:hint="eastAsia" w:ascii="仿宋" w:hAnsi="仿宋" w:eastAsia="仿宋" w:cs="Arial"/>
          <w:snapToGrid w:val="0"/>
          <w:color w:val="auto"/>
          <w:kern w:val="0"/>
          <w:sz w:val="32"/>
          <w:szCs w:val="21"/>
          <w:lang w:eastAsia="zh-CN"/>
        </w:rPr>
        <w:t>北京</w:t>
      </w:r>
      <w:r>
        <w:rPr>
          <w:rFonts w:hint="eastAsia" w:ascii="仿宋" w:hAnsi="仿宋" w:eastAsia="仿宋"/>
          <w:bCs/>
          <w:color w:val="auto"/>
          <w:sz w:val="32"/>
        </w:rPr>
        <w:t>大学</w:t>
      </w:r>
      <w:r>
        <w:rPr>
          <w:rFonts w:hint="eastAsia" w:ascii="仿宋" w:hAnsi="仿宋" w:eastAsia="仿宋"/>
          <w:bCs/>
          <w:color w:val="auto"/>
          <w:sz w:val="32"/>
          <w:lang w:val="en-US" w:eastAsia="zh-CN"/>
        </w:rPr>
        <w:t>结业</w:t>
      </w:r>
      <w:r>
        <w:rPr>
          <w:rFonts w:hint="eastAsia" w:ascii="仿宋" w:hAnsi="仿宋" w:eastAsia="仿宋"/>
          <w:bCs/>
          <w:color w:val="auto"/>
          <w:sz w:val="32"/>
        </w:rPr>
        <w:t>证书。</w:t>
      </w:r>
    </w:p>
    <w:p>
      <w:pPr>
        <w:adjustRightInd w:val="0"/>
        <w:snapToGrid w:val="0"/>
        <w:spacing w:line="560" w:lineRule="exact"/>
        <w:outlineLvl w:val="0"/>
        <w:rPr>
          <w:rFonts w:hint="eastAsia" w:ascii="宋体" w:hAnsi="宋体" w:eastAsiaTheme="minorEastAsia"/>
          <w:b/>
          <w:color w:val="auto"/>
          <w:sz w:val="32"/>
          <w:lang w:eastAsia="zh-CN"/>
        </w:rPr>
      </w:pPr>
      <w:r>
        <w:rPr>
          <w:rFonts w:hint="eastAsia" w:ascii="宋体" w:hAnsi="宋体"/>
          <w:b/>
          <w:color w:val="auto"/>
          <w:sz w:val="32"/>
          <w:lang w:eastAsia="zh-CN"/>
        </w:rPr>
        <w:t>八、</w:t>
      </w:r>
      <w:r>
        <w:rPr>
          <w:rFonts w:hint="eastAsia" w:ascii="宋体" w:hAnsi="宋体"/>
          <w:b/>
          <w:color w:val="auto"/>
          <w:sz w:val="32"/>
        </w:rPr>
        <w:t>报名方式</w:t>
      </w:r>
      <w:r>
        <w:rPr>
          <w:rFonts w:hint="eastAsia" w:ascii="宋体" w:hAnsi="宋体"/>
          <w:b/>
          <w:color w:val="auto"/>
          <w:sz w:val="32"/>
          <w:lang w:eastAsia="zh-CN"/>
        </w:rPr>
        <w:t>及缴费信息</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1、提交领军人才学员选拔表，接受资格预审。</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2、学员选拔表信息审核通过后发放入学须知。</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3、经审核后，请将培训费汇至：</w:t>
      </w:r>
    </w:p>
    <w:p>
      <w:pPr>
        <w:spacing w:line="560" w:lineRule="exact"/>
        <w:ind w:firstLine="1280" w:firstLineChars="400"/>
        <w:rPr>
          <w:rFonts w:hint="eastAsia" w:ascii="仿宋" w:hAnsi="仿宋" w:eastAsia="仿宋" w:cs="宋体"/>
          <w:color w:val="auto"/>
          <w:sz w:val="32"/>
        </w:rPr>
      </w:pPr>
      <w:r>
        <w:rPr>
          <w:rFonts w:hint="eastAsia" w:ascii="仿宋" w:hAnsi="仿宋" w:eastAsia="仿宋" w:cs="宋体"/>
          <w:color w:val="auto"/>
          <w:sz w:val="32"/>
        </w:rPr>
        <w:t>账户名称：北京大学</w:t>
      </w:r>
    </w:p>
    <w:p>
      <w:pPr>
        <w:spacing w:line="560" w:lineRule="exact"/>
        <w:ind w:firstLine="1280" w:firstLineChars="400"/>
        <w:rPr>
          <w:rFonts w:hint="eastAsia" w:ascii="仿宋" w:hAnsi="仿宋" w:eastAsia="仿宋" w:cs="宋体"/>
          <w:color w:val="auto"/>
          <w:sz w:val="32"/>
        </w:rPr>
      </w:pPr>
      <w:r>
        <w:rPr>
          <w:rFonts w:hint="eastAsia" w:ascii="仿宋" w:hAnsi="仿宋" w:eastAsia="仿宋" w:cs="宋体"/>
          <w:color w:val="auto"/>
          <w:sz w:val="32"/>
        </w:rPr>
        <w:t>账号：0200004509089131151</w:t>
      </w:r>
    </w:p>
    <w:p>
      <w:pPr>
        <w:spacing w:line="560" w:lineRule="exact"/>
        <w:ind w:firstLine="1200" w:firstLineChars="375"/>
        <w:rPr>
          <w:rFonts w:hint="eastAsia" w:ascii="仿宋" w:hAnsi="仿宋" w:eastAsia="仿宋" w:cs="宋体"/>
          <w:color w:val="auto"/>
          <w:sz w:val="32"/>
        </w:rPr>
      </w:pPr>
      <w:r>
        <w:rPr>
          <w:rFonts w:hint="eastAsia" w:ascii="仿宋" w:hAnsi="仿宋" w:eastAsia="仿宋" w:cs="宋体"/>
          <w:color w:val="auto"/>
          <w:sz w:val="32"/>
        </w:rPr>
        <w:t>开户行：工行北京海淀西区支行</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（汇款用途务必填上：北京大学工信部经营管理领军人才班培训费）</w:t>
      </w:r>
    </w:p>
    <w:p>
      <w:pPr>
        <w:spacing w:line="560" w:lineRule="exact"/>
        <w:ind w:firstLine="640" w:firstLineChars="200"/>
        <w:rPr>
          <w:rFonts w:hint="eastAsia" w:ascii="仿宋" w:hAnsi="仿宋" w:eastAsia="仿宋" w:cs="宋体"/>
          <w:color w:val="auto"/>
          <w:sz w:val="32"/>
          <w:lang w:val="en-US" w:eastAsia="zh-CN"/>
        </w:rPr>
      </w:pPr>
      <w:r>
        <w:rPr>
          <w:rFonts w:hint="eastAsia" w:ascii="仿宋" w:hAnsi="仿宋" w:eastAsia="仿宋" w:cs="宋体"/>
          <w:color w:val="auto"/>
          <w:sz w:val="32"/>
          <w:lang w:val="en-US" w:eastAsia="zh-CN"/>
        </w:rPr>
        <w:t>4、学员学费到账后，由北京大学经济学院统一发放入学通知书。</w:t>
      </w:r>
    </w:p>
    <w:p>
      <w:pPr>
        <w:numPr>
          <w:ilvl w:val="0"/>
          <w:numId w:val="2"/>
        </w:numPr>
        <w:spacing w:line="560" w:lineRule="exact"/>
        <w:ind w:left="640" w:leftChars="0" w:firstLine="0" w:firstLineChars="0"/>
        <w:rPr>
          <w:rFonts w:hint="eastAsia" w:ascii="仿宋" w:hAnsi="仿宋" w:eastAsia="仿宋" w:cs="宋体"/>
          <w:color w:val="auto"/>
          <w:sz w:val="32"/>
          <w:lang w:eastAsia="zh-CN"/>
        </w:rPr>
      </w:pPr>
      <w:r>
        <w:rPr>
          <w:rFonts w:hint="eastAsia" w:ascii="仿宋" w:hAnsi="仿宋" w:eastAsia="仿宋" w:cs="宋体"/>
          <w:color w:val="auto"/>
          <w:sz w:val="32"/>
        </w:rPr>
        <w:t>学员携带相关材料</w:t>
      </w:r>
      <w:r>
        <w:rPr>
          <w:rFonts w:hint="eastAsia" w:ascii="仿宋" w:hAnsi="仿宋" w:eastAsia="仿宋" w:cs="宋体"/>
          <w:color w:val="auto"/>
          <w:sz w:val="32"/>
          <w:lang w:eastAsia="zh-CN"/>
        </w:rPr>
        <w:t>：</w:t>
      </w:r>
      <w:r>
        <w:rPr>
          <w:rFonts w:hint="eastAsia" w:ascii="仿宋" w:hAnsi="仿宋" w:eastAsia="仿宋" w:cs="宋体"/>
          <w:color w:val="auto"/>
          <w:sz w:val="32"/>
        </w:rPr>
        <w:t>公司营业执照复印件或职务证明、身份证复印件一份；</w:t>
      </w:r>
      <w:r>
        <w:rPr>
          <w:rFonts w:hint="eastAsia" w:ascii="仿宋" w:hAnsi="仿宋" w:eastAsia="仿宋" w:cs="宋体"/>
          <w:color w:val="auto"/>
          <w:sz w:val="32"/>
          <w:lang w:eastAsia="zh-CN"/>
        </w:rPr>
        <w:t>一张</w:t>
      </w:r>
      <w:r>
        <w:rPr>
          <w:rFonts w:hint="eastAsia" w:ascii="仿宋" w:hAnsi="仿宋" w:eastAsia="仿宋" w:cs="宋体"/>
          <w:color w:val="auto"/>
          <w:sz w:val="32"/>
        </w:rPr>
        <w:t>2寸</w:t>
      </w:r>
      <w:r>
        <w:rPr>
          <w:rFonts w:hint="eastAsia" w:ascii="仿宋" w:hAnsi="仿宋" w:eastAsia="仿宋" w:cs="宋体"/>
          <w:color w:val="auto"/>
          <w:sz w:val="32"/>
          <w:lang w:eastAsia="zh-CN"/>
        </w:rPr>
        <w:t>电子版照片，无底色要求，进行报到。</w:t>
      </w:r>
    </w:p>
    <w:p>
      <w:pPr>
        <w:numPr>
          <w:ilvl w:val="0"/>
          <w:numId w:val="2"/>
        </w:numPr>
        <w:spacing w:line="560" w:lineRule="exact"/>
        <w:ind w:left="640" w:leftChars="0" w:firstLine="0" w:firstLineChars="0"/>
        <w:rPr>
          <w:rFonts w:hint="eastAsia" w:ascii="仿宋" w:hAnsi="仿宋" w:eastAsia="仿宋" w:cs="宋体"/>
          <w:color w:val="auto"/>
          <w:sz w:val="32"/>
        </w:rPr>
      </w:pPr>
      <w:r>
        <w:rPr>
          <w:rFonts w:hint="eastAsia" w:ascii="仿宋" w:hAnsi="仿宋" w:eastAsia="仿宋" w:cs="宋体"/>
          <w:color w:val="auto"/>
          <w:sz w:val="32"/>
        </w:rPr>
        <w:t>参加开学仪式，正式入学。</w:t>
      </w:r>
    </w:p>
    <w:p>
      <w:pPr>
        <w:pStyle w:val="5"/>
        <w:numPr>
          <w:ilvl w:val="1"/>
          <w:numId w:val="0"/>
        </w:numPr>
        <w:tabs>
          <w:tab w:val="clear" w:pos="851"/>
        </w:tabs>
        <w:jc w:val="both"/>
        <w:rPr>
          <w:rFonts w:hint="eastAsia" w:ascii="宋体" w:hAnsi="宋体" w:eastAsiaTheme="minorEastAsia" w:cstheme="minorBidi"/>
          <w:b/>
          <w:color w:val="auto"/>
          <w:kern w:val="2"/>
          <w:sz w:val="32"/>
          <w:szCs w:val="22"/>
          <w:lang w:val="en-US" w:eastAsia="zh-CN" w:bidi="ar-SA"/>
        </w:rPr>
      </w:pPr>
      <w:bookmarkStart w:id="0" w:name="_Toc14644"/>
      <w:r>
        <w:rPr>
          <w:rFonts w:hint="eastAsia" w:ascii="宋体" w:hAnsi="宋体" w:eastAsiaTheme="minorEastAsia" w:cstheme="minorBidi"/>
          <w:b/>
          <w:color w:val="auto"/>
          <w:kern w:val="2"/>
          <w:sz w:val="32"/>
          <w:szCs w:val="22"/>
          <w:lang w:val="en-US" w:eastAsia="zh-CN" w:bidi="ar-SA"/>
        </w:rPr>
        <w:t>九、</w:t>
      </w:r>
      <w:bookmarkEnd w:id="0"/>
      <w:r>
        <w:rPr>
          <w:rFonts w:hint="eastAsia" w:ascii="宋体" w:hAnsi="宋体" w:eastAsiaTheme="minorEastAsia" w:cstheme="minorBidi"/>
          <w:b/>
          <w:color w:val="auto"/>
          <w:kern w:val="2"/>
          <w:sz w:val="32"/>
          <w:szCs w:val="22"/>
          <w:lang w:val="en-US" w:eastAsia="zh-CN" w:bidi="ar-SA"/>
        </w:rPr>
        <w:t>报名咨询</w:t>
      </w:r>
    </w:p>
    <w:p>
      <w:pPr>
        <w:widowControl/>
        <w:spacing w:line="500" w:lineRule="exact"/>
        <w:ind w:firstLine="602" w:firstLineChars="200"/>
        <w:textAlignment w:val="center"/>
        <w:rPr>
          <w:rFonts w:ascii="仿宋" w:hAnsi="仿宋" w:eastAsia="仿宋" w:cs="仿宋"/>
          <w:b/>
          <w:bCs/>
          <w:color w:val="000000"/>
          <w:kern w:val="0"/>
          <w:sz w:val="30"/>
          <w:szCs w:val="30"/>
        </w:rPr>
      </w:pPr>
      <w:bookmarkStart w:id="1" w:name="_GoBack"/>
      <w:bookmarkEnd w:id="1"/>
      <w:r>
        <w:rPr>
          <w:rFonts w:hint="eastAsia" w:ascii="仿宋" w:hAnsi="仿宋" w:eastAsia="仿宋" w:cs="仿宋"/>
          <w:b/>
          <w:bCs/>
          <w:color w:val="000000"/>
          <w:kern w:val="0"/>
          <w:sz w:val="30"/>
          <w:szCs w:val="30"/>
          <w:lang w:eastAsia="zh-CN"/>
        </w:rPr>
        <w:t>北京大学经济</w:t>
      </w:r>
      <w:r>
        <w:rPr>
          <w:rFonts w:hint="eastAsia" w:ascii="仿宋" w:hAnsi="仿宋" w:eastAsia="仿宋" w:cs="仿宋"/>
          <w:b/>
          <w:bCs/>
          <w:color w:val="000000"/>
          <w:kern w:val="0"/>
          <w:sz w:val="30"/>
          <w:szCs w:val="30"/>
        </w:rPr>
        <w:t>学院</w:t>
      </w:r>
    </w:p>
    <w:p>
      <w:pPr>
        <w:widowControl/>
        <w:spacing w:line="500" w:lineRule="exact"/>
        <w:ind w:firstLine="600" w:firstLineChars="200"/>
        <w:textAlignment w:val="center"/>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负责人：</w:t>
      </w:r>
      <w:r>
        <w:rPr>
          <w:rFonts w:hint="eastAsia" w:ascii="仿宋" w:hAnsi="仿宋" w:eastAsia="仿宋" w:cs="仿宋"/>
          <w:color w:val="000000"/>
          <w:kern w:val="0"/>
          <w:sz w:val="30"/>
          <w:szCs w:val="30"/>
          <w:lang w:eastAsia="zh-CN"/>
        </w:rPr>
        <w:t>郭</w:t>
      </w:r>
      <w:r>
        <w:rPr>
          <w:rFonts w:hint="eastAsia" w:ascii="仿宋" w:hAnsi="仿宋" w:eastAsia="仿宋" w:cs="仿宋"/>
          <w:color w:val="000000"/>
          <w:kern w:val="0"/>
          <w:sz w:val="30"/>
          <w:szCs w:val="30"/>
        </w:rPr>
        <w:t xml:space="preserve">老师 </w:t>
      </w:r>
      <w:r>
        <w:rPr>
          <w:rFonts w:hint="eastAsia" w:ascii="仿宋" w:hAnsi="仿宋" w:eastAsia="仿宋" w:cs="仿宋"/>
          <w:color w:val="000000"/>
          <w:kern w:val="0"/>
          <w:sz w:val="30"/>
          <w:szCs w:val="30"/>
          <w:lang w:val="en-US" w:eastAsia="zh-CN"/>
        </w:rPr>
        <w:t>15811428034</w:t>
      </w:r>
    </w:p>
    <w:p>
      <w:pPr>
        <w:snapToGrid w:val="0"/>
        <w:ind w:firstLine="600" w:firstLineChars="200"/>
      </w:pPr>
      <w:r>
        <w:rPr>
          <w:rFonts w:hint="eastAsia" w:ascii="仿宋" w:hAnsi="仿宋" w:eastAsia="仿宋" w:cs="仿宋"/>
          <w:color w:val="000000"/>
          <w:kern w:val="0"/>
          <w:sz w:val="30"/>
          <w:szCs w:val="30"/>
          <w:lang w:val="en-US" w:eastAsia="zh-CN"/>
        </w:rPr>
        <w:t>邮箱：gman@pku.edu.cn</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swiss"/>
    <w:pitch w:val="default"/>
    <w:sig w:usb0="00000000" w:usb1="00000000" w:usb2="00000016" w:usb3="00000000" w:csb0="00040001" w:csb1="00000000"/>
  </w:font>
  <w:font w:name="楷体">
    <w:altName w:val="方正楷体_GBK"/>
    <w:panose1 w:val="02010609060101010101"/>
    <w:charset w:val="86"/>
    <w:family w:val="swiss"/>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黑体" w:hAnsi="Calibri" w:eastAsia="黑体" w:cs="Times New Roman"/>
        <w:b/>
        <w:sz w:val="32"/>
        <w:szCs w:val="30"/>
      </w:rPr>
      <w:drawing>
        <wp:anchor distT="0" distB="0" distL="114300" distR="114300" simplePos="0" relativeHeight="251660288" behindDoc="0" locked="0" layoutInCell="1" allowOverlap="1">
          <wp:simplePos x="0" y="0"/>
          <wp:positionH relativeFrom="column">
            <wp:posOffset>113030</wp:posOffset>
          </wp:positionH>
          <wp:positionV relativeFrom="paragraph">
            <wp:posOffset>65405</wp:posOffset>
          </wp:positionV>
          <wp:extent cx="551815" cy="709295"/>
          <wp:effectExtent l="0" t="0" r="635" b="14605"/>
          <wp:wrapTopAndBottom/>
          <wp:docPr id="14" name="图片 81" descr="C:\Users\chenc\Desktop\27192212pja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81" descr="C:\Users\chenc\Desktop\27192212pja8.png"/>
                  <pic:cNvPicPr>
                    <a:picLocks noChangeAspect="true"/>
                  </pic:cNvPicPr>
                </pic:nvPicPr>
                <pic:blipFill>
                  <a:blip r:embed="rId1"/>
                  <a:stretch>
                    <a:fillRect/>
                  </a:stretch>
                </pic:blipFill>
                <pic:spPr>
                  <a:xfrm>
                    <a:off x="0" y="0"/>
                    <a:ext cx="551815" cy="709295"/>
                  </a:xfrm>
                  <a:prstGeom prst="rect">
                    <a:avLst/>
                  </a:prstGeom>
                  <a:noFill/>
                  <a:ln>
                    <a:noFill/>
                  </a:ln>
                </pic:spPr>
              </pic:pic>
            </a:graphicData>
          </a:graphic>
        </wp:anchor>
      </w:drawing>
    </w:r>
    <w:r>
      <w:rPr>
        <w:rFonts w:hint="eastAsia"/>
        <w:lang w:eastAsia="zh-CN"/>
      </w:rPr>
      <w:tab/>
    </w:r>
    <w:r>
      <w:rPr>
        <w:rFonts w:hint="eastAsia"/>
        <w:lang w:val="en-US" w:eastAsia="zh-CN"/>
      </w:rPr>
      <w:t xml:space="preserve">                                       </w:t>
    </w:r>
    <w:r>
      <w:rPr>
        <w:rFonts w:hint="eastAsia"/>
      </w:rPr>
      <w:drawing>
        <wp:inline distT="0" distB="0" distL="114300" distR="114300">
          <wp:extent cx="1644015" cy="463550"/>
          <wp:effectExtent l="0" t="0" r="13335" b="12700"/>
          <wp:docPr id="3" name="图片 1" descr="u=402328133,1470565450&amp;fm=21&amp;gp=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u=402328133,1470565450&amp;fm=21&amp;gp=0"/>
                  <pic:cNvPicPr>
                    <a:picLocks noChangeAspect="true"/>
                  </pic:cNvPicPr>
                </pic:nvPicPr>
                <pic:blipFill>
                  <a:blip r:embed="rId2"/>
                  <a:stretch>
                    <a:fillRect/>
                  </a:stretch>
                </pic:blipFill>
                <pic:spPr>
                  <a:xfrm>
                    <a:off x="0" y="0"/>
                    <a:ext cx="1644015" cy="463550"/>
                  </a:xfrm>
                  <a:prstGeom prst="rect">
                    <a:avLst/>
                  </a:prstGeom>
                  <a:noFill/>
                  <a:ln>
                    <a:noFill/>
                  </a:ln>
                </pic:spPr>
              </pic:pic>
            </a:graphicData>
          </a:graphic>
        </wp:inline>
      </w:drawing>
    </w:r>
    <w:r>
      <w:rPr>
        <w:rFonts w:ascii="Calibri" w:hAnsi="Calibri"/>
        <w:color w:val="333333"/>
      </w:rPr>
      <w:drawing>
        <wp:inline distT="0" distB="0" distL="114300" distR="114300">
          <wp:extent cx="1281430" cy="523875"/>
          <wp:effectExtent l="0" t="0" r="13970" b="9525"/>
          <wp:docPr id="2" name="图片 2" descr="经济学院"/>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经济学院"/>
                  <pic:cNvPicPr>
                    <a:picLocks noChangeAspect="true"/>
                  </pic:cNvPicPr>
                </pic:nvPicPr>
                <pic:blipFill>
                  <a:blip r:embed="rId3"/>
                  <a:stretch>
                    <a:fillRect/>
                  </a:stretch>
                </pic:blipFill>
                <pic:spPr>
                  <a:xfrm>
                    <a:off x="0" y="0"/>
                    <a:ext cx="1281430" cy="523875"/>
                  </a:xfrm>
                  <a:prstGeom prst="rect">
                    <a:avLst/>
                  </a:prstGeom>
                  <a:noFill/>
                  <a:ln>
                    <a:noFill/>
                  </a:ln>
                </pic:spPr>
              </pic:pic>
            </a:graphicData>
          </a:graphic>
        </wp:inline>
      </w:drawing>
    </w:r>
  </w:p>
  <w:p>
    <w:pPr>
      <w:pStyle w:val="7"/>
      <w:tabs>
        <w:tab w:val="left" w:pos="738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9B96C"/>
    <w:multiLevelType w:val="singleLevel"/>
    <w:tmpl w:val="F319B96C"/>
    <w:lvl w:ilvl="0" w:tentative="0">
      <w:start w:val="5"/>
      <w:numFmt w:val="decimal"/>
      <w:suff w:val="nothing"/>
      <w:lvlText w:val="%1、"/>
      <w:lvlJc w:val="left"/>
      <w:pPr>
        <w:ind w:left="640" w:leftChars="0" w:firstLine="0" w:firstLineChars="0"/>
      </w:pPr>
    </w:lvl>
  </w:abstractNum>
  <w:abstractNum w:abstractNumId="1">
    <w:nsid w:val="00000019"/>
    <w:multiLevelType w:val="multilevel"/>
    <w:tmpl w:val="00000019"/>
    <w:lvl w:ilvl="0" w:tentative="0">
      <w:start w:val="3"/>
      <w:numFmt w:val="decimal"/>
      <w:pStyle w:val="2"/>
      <w:lvlText w:val="%1."/>
      <w:lvlJc w:val="left"/>
      <w:pPr>
        <w:tabs>
          <w:tab w:val="left" w:pos="851"/>
        </w:tabs>
        <w:ind w:left="1418" w:hanging="1418"/>
      </w:pPr>
      <w:rPr>
        <w:rFonts w:hint="eastAsia"/>
        <w:b/>
        <w:i w:val="0"/>
        <w:color w:val="auto"/>
        <w:w w:val="100"/>
        <w:sz w:val="36"/>
        <w:szCs w:val="36"/>
        <w:u w:val="none"/>
      </w:rPr>
    </w:lvl>
    <w:lvl w:ilvl="1" w:tentative="0">
      <w:start w:val="1"/>
      <w:numFmt w:val="decimal"/>
      <w:pStyle w:val="5"/>
      <w:lvlText w:val="%1.%2"/>
      <w:lvlJc w:val="left"/>
      <w:pPr>
        <w:tabs>
          <w:tab w:val="left" w:pos="1277"/>
        </w:tabs>
        <w:ind w:left="1844" w:hanging="1418"/>
      </w:pPr>
    </w:lvl>
    <w:lvl w:ilvl="2" w:tentative="0">
      <w:start w:val="1"/>
      <w:numFmt w:val="decimal"/>
      <w:lvlText w:val="%1.%2.%3"/>
      <w:lvlJc w:val="left"/>
      <w:pPr>
        <w:tabs>
          <w:tab w:val="left" w:pos="851"/>
        </w:tabs>
        <w:ind w:left="1418" w:hanging="1418"/>
      </w:pPr>
      <w:rPr>
        <w:rFonts w:hint="eastAsia"/>
      </w:rPr>
    </w:lvl>
    <w:lvl w:ilvl="3" w:tentative="0">
      <w:start w:val="1"/>
      <w:numFmt w:val="decimal"/>
      <w:lvlText w:val="%1.%2.%3.%4"/>
      <w:lvlJc w:val="left"/>
      <w:pPr>
        <w:tabs>
          <w:tab w:val="left" w:pos="284"/>
        </w:tabs>
        <w:ind w:left="284"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GVkODRiOTBjNGQxZTcwMWZmZTcyNjc1ODIzNTIifQ=="/>
  </w:docVars>
  <w:rsids>
    <w:rsidRoot w:val="3CA92C61"/>
    <w:rsid w:val="003F5F2A"/>
    <w:rsid w:val="00823AF7"/>
    <w:rsid w:val="030D46B7"/>
    <w:rsid w:val="034E275D"/>
    <w:rsid w:val="080A3F18"/>
    <w:rsid w:val="0A491E19"/>
    <w:rsid w:val="0AB35574"/>
    <w:rsid w:val="0AFC15E8"/>
    <w:rsid w:val="0C827748"/>
    <w:rsid w:val="10F12B49"/>
    <w:rsid w:val="12E50BB3"/>
    <w:rsid w:val="162D26B2"/>
    <w:rsid w:val="18B2756C"/>
    <w:rsid w:val="1BFF005F"/>
    <w:rsid w:val="1D221544"/>
    <w:rsid w:val="1D32738C"/>
    <w:rsid w:val="20F955E8"/>
    <w:rsid w:val="225E3C61"/>
    <w:rsid w:val="27602002"/>
    <w:rsid w:val="2D3E69DC"/>
    <w:rsid w:val="32AE1A4E"/>
    <w:rsid w:val="386C475B"/>
    <w:rsid w:val="39046799"/>
    <w:rsid w:val="3AD335DB"/>
    <w:rsid w:val="3B871215"/>
    <w:rsid w:val="3CA92C61"/>
    <w:rsid w:val="3EC60FE9"/>
    <w:rsid w:val="3ED97065"/>
    <w:rsid w:val="40714DB1"/>
    <w:rsid w:val="40FB2AA4"/>
    <w:rsid w:val="43E53CC0"/>
    <w:rsid w:val="44DE19E8"/>
    <w:rsid w:val="48E412F3"/>
    <w:rsid w:val="49CE2F02"/>
    <w:rsid w:val="4AB64079"/>
    <w:rsid w:val="507E7976"/>
    <w:rsid w:val="509D418A"/>
    <w:rsid w:val="530B11FB"/>
    <w:rsid w:val="555C3588"/>
    <w:rsid w:val="583A23D4"/>
    <w:rsid w:val="5D1859F9"/>
    <w:rsid w:val="5ECE1617"/>
    <w:rsid w:val="60837E43"/>
    <w:rsid w:val="6450434C"/>
    <w:rsid w:val="6A2A1856"/>
    <w:rsid w:val="6E4F7FF6"/>
    <w:rsid w:val="70182193"/>
    <w:rsid w:val="7126343E"/>
    <w:rsid w:val="76D11CFE"/>
    <w:rsid w:val="78230DE9"/>
    <w:rsid w:val="7DEA02BE"/>
    <w:rsid w:val="D4F3A9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numPr>
        <w:ilvl w:val="0"/>
        <w:numId w:val="1"/>
      </w:numPr>
      <w:spacing w:before="120" w:after="60" w:line="360" w:lineRule="auto"/>
      <w:jc w:val="left"/>
      <w:outlineLvl w:val="0"/>
    </w:pPr>
    <w:rPr>
      <w:rFonts w:ascii="Arial" w:hAnsi="Arial" w:eastAsia="宋体" w:cs="Times New Roman"/>
      <w:b/>
      <w:bCs/>
      <w:sz w:val="36"/>
      <w:szCs w:val="36"/>
    </w:rPr>
  </w:style>
  <w:style w:type="paragraph" w:styleId="5">
    <w:name w:val="heading 2"/>
    <w:basedOn w:val="2"/>
    <w:next w:val="3"/>
    <w:qFormat/>
    <w:uiPriority w:val="0"/>
    <w:pPr>
      <w:numPr>
        <w:ilvl w:val="1"/>
      </w:numPr>
      <w:outlineLvl w:val="1"/>
    </w:pPr>
    <w:rPr>
      <w:sz w:val="30"/>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3">
    <w:name w:val="正文文本首行缩进1"/>
    <w:basedOn w:val="4"/>
    <w:qFormat/>
    <w:uiPriority w:val="0"/>
    <w:pPr>
      <w:spacing w:line="360" w:lineRule="auto"/>
      <w:ind w:firstLine="420" w:firstLineChars="100"/>
    </w:pPr>
    <w:rPr>
      <w:rFonts w:ascii="Times New Roman" w:hAnsi="Times New Roman" w:eastAsia="宋体" w:cs="Times New Roman"/>
      <w:sz w:val="24"/>
    </w:rPr>
  </w:style>
  <w:style w:type="paragraph" w:styleId="4">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4.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3619</Words>
  <Characters>3704</Characters>
  <Lines>0</Lines>
  <Paragraphs>0</Paragraphs>
  <TotalTime>3</TotalTime>
  <ScaleCrop>false</ScaleCrop>
  <LinksUpToDate>false</LinksUpToDate>
  <CharactersWithSpaces>3830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2021-05-14T17:27:00Z</dcterms:created>
  <dc:creator>Administrator</dc:creator>
  <cp:lastModifiedBy>baixin</cp:lastModifiedBy>
  <dcterms:modified xsi:type="dcterms:W3CDTF">2023-12-05T15:00:26Z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5C9D46012316445EBC865CD54EB9F9B8_13</vt:lpwstr>
  </property>
</Properties>
</file>