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left="0" w:leftChars="0" w:firstLine="0" w:firstLineChars="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val="en-US" w:eastAsia="zh-CN"/>
        </w:rPr>
        <w:t>附件：</w:t>
      </w:r>
    </w:p>
    <w:tbl>
      <w:tblPr>
        <w:tblStyle w:val="4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6223"/>
        <w:gridCol w:w="1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2023年山西省技术创新示范企业名单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东杰智能科技集团股份有限公司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中化二建集团有限公司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山西钢科碳材料有限公司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山西电机制造有限公司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广盛源中医药有限公司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山西同达药业有限公司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大同泰瑞集团建设有限公司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山西晋坤矿产品股份有限公司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朔州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山西晨辉锻压设备制造股份有限公司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山西天宝集团有限公司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交城义望铁合金有限责任公司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中铁三局集团第五工程有限公司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山西德元堂药业有限公司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山西路桥第六工程有限公司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山西宏厦建筑工程第三有限公司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长治市三耐铸业有限公司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山西壶化集团股份有限公司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山西航天清华装备有限责任公司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晋城市金工铸业有限公司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山西海诺科技股份有限公司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山西平阳煤机装备有限责任公司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山西旺龙药业集团有限公司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山西大禹生物工程股份有限公司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亚新科国际铸造（山西）有限公司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山西中设华晋铸造有限公司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运城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MjYxZDdmNzg5NDljZDFlNGQ0MzVjMzI5OWEzY2QifQ=="/>
  </w:docVars>
  <w:rsids>
    <w:rsidRoot w:val="77B723AD"/>
    <w:rsid w:val="77B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2023-11-04T12:09:00Z</dcterms:created>
  <dc:creator>闫晓杰</dc:creator>
  <cp:lastModifiedBy>闫晓杰</cp:lastModifiedBy>
  <dcterms:modified xsi:type="dcterms:W3CDTF">2023-11-04T12:09:58Z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FA95D1D8B0494606A300A018A05F424F_11</vt:lpwstr>
  </property>
</Properties>
</file>