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ascii="黑体" w:hAnsi="黑体" w:eastAsia="黑体" w:cs="黑体"/>
          <w:spacing w:val="30"/>
          <w:sz w:val="33"/>
          <w:szCs w:val="33"/>
        </w:rPr>
        <w:t>附件</w:t>
      </w:r>
      <w:r>
        <w:rPr>
          <w:rFonts w:hint="eastAsia" w:ascii="黑体" w:hAnsi="黑体" w:eastAsia="黑体" w:cs="黑体"/>
          <w:spacing w:val="30"/>
          <w:sz w:val="33"/>
          <w:szCs w:val="33"/>
          <w:lang w:val="en-US" w:eastAsia="zh-CN"/>
        </w:rPr>
        <w:t>2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0" w:line="219" w:lineRule="auto"/>
        <w:ind w:left="4102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8"/>
          <w:sz w:val="34"/>
          <w:szCs w:val="34"/>
        </w:rPr>
        <w:t>全国一刻钟便民生活节活动进度监测汇总表</w:t>
      </w:r>
    </w:p>
    <w:p>
      <w:pPr>
        <w:spacing w:before="36" w:line="220" w:lineRule="auto"/>
        <w:ind w:left="7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9"/>
          <w:sz w:val="20"/>
          <w:szCs w:val="20"/>
        </w:rPr>
        <w:t>单位名称：</w:t>
      </w:r>
    </w:p>
    <w:p>
      <w:pPr>
        <w:spacing w:line="17" w:lineRule="exact"/>
      </w:pPr>
    </w:p>
    <w:tbl>
      <w:tblPr>
        <w:tblStyle w:val="4"/>
        <w:tblW w:w="13049" w:type="dxa"/>
        <w:tblInd w:w="6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999"/>
        <w:gridCol w:w="1029"/>
        <w:gridCol w:w="1019"/>
        <w:gridCol w:w="999"/>
        <w:gridCol w:w="749"/>
        <w:gridCol w:w="1189"/>
        <w:gridCol w:w="1109"/>
        <w:gridCol w:w="839"/>
        <w:gridCol w:w="899"/>
        <w:gridCol w:w="890"/>
        <w:gridCol w:w="959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95" w:type="dxa"/>
            <w:textDirection w:val="tbRlV"/>
            <w:vAlign w:val="top"/>
          </w:tcPr>
          <w:p>
            <w:pPr>
              <w:spacing w:before="90" w:line="217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序号</w:t>
            </w:r>
          </w:p>
        </w:tc>
        <w:tc>
          <w:tcPr>
            <w:tcW w:w="19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活动名称</w:t>
            </w:r>
          </w:p>
        </w:tc>
        <w:tc>
          <w:tcPr>
            <w:tcW w:w="102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举办时间</w:t>
            </w: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活动类型</w:t>
            </w:r>
          </w:p>
        </w:tc>
        <w:tc>
          <w:tcPr>
            <w:tcW w:w="9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活动方式</w:t>
            </w:r>
          </w:p>
        </w:tc>
        <w:tc>
          <w:tcPr>
            <w:tcW w:w="749" w:type="dxa"/>
            <w:vAlign w:val="top"/>
          </w:tcPr>
          <w:p>
            <w:pPr>
              <w:spacing w:before="162" w:line="301" w:lineRule="exact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1"/>
                <w:szCs w:val="21"/>
              </w:rPr>
              <w:t>举办</w:t>
            </w:r>
          </w:p>
          <w:p>
            <w:pPr>
              <w:spacing w:line="219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城市</w:t>
            </w:r>
          </w:p>
        </w:tc>
        <w:tc>
          <w:tcPr>
            <w:tcW w:w="1189" w:type="dxa"/>
            <w:vAlign w:val="top"/>
          </w:tcPr>
          <w:p>
            <w:pPr>
              <w:spacing w:before="170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覆盖便民生</w:t>
            </w:r>
          </w:p>
          <w:p>
            <w:pPr>
              <w:spacing w:before="23"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活圈数量</w:t>
            </w:r>
          </w:p>
        </w:tc>
        <w:tc>
          <w:tcPr>
            <w:tcW w:w="1109" w:type="dxa"/>
            <w:vAlign w:val="top"/>
          </w:tcPr>
          <w:p>
            <w:pPr>
              <w:spacing w:before="46" w:line="222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参加的经</w:t>
            </w:r>
          </w:p>
          <w:p>
            <w:pPr>
              <w:spacing w:before="44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营主体数</w:t>
            </w:r>
          </w:p>
          <w:p>
            <w:pPr>
              <w:spacing w:before="17" w:line="212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量</w:t>
            </w:r>
          </w:p>
        </w:tc>
        <w:tc>
          <w:tcPr>
            <w:tcW w:w="839" w:type="dxa"/>
            <w:vAlign w:val="top"/>
          </w:tcPr>
          <w:p>
            <w:pPr>
              <w:spacing w:before="183" w:line="246" w:lineRule="auto"/>
              <w:ind w:left="97" w:righ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民人数</w:t>
            </w:r>
          </w:p>
        </w:tc>
        <w:tc>
          <w:tcPr>
            <w:tcW w:w="899" w:type="dxa"/>
            <w:vAlign w:val="top"/>
          </w:tcPr>
          <w:p>
            <w:pPr>
              <w:spacing w:before="193" w:line="237" w:lineRule="auto"/>
              <w:ind w:left="137" w:righ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政府发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券金额</w:t>
            </w:r>
          </w:p>
        </w:tc>
        <w:tc>
          <w:tcPr>
            <w:tcW w:w="890" w:type="dxa"/>
            <w:vAlign w:val="top"/>
          </w:tcPr>
          <w:p>
            <w:pPr>
              <w:spacing w:before="184" w:line="250" w:lineRule="auto"/>
              <w:ind w:left="128" w:righ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券金额</w:t>
            </w:r>
          </w:p>
        </w:tc>
        <w:tc>
          <w:tcPr>
            <w:tcW w:w="959" w:type="dxa"/>
            <w:vAlign w:val="top"/>
          </w:tcPr>
          <w:p>
            <w:pPr>
              <w:spacing w:before="194" w:line="220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活动销</w:t>
            </w:r>
          </w:p>
          <w:p>
            <w:pPr>
              <w:spacing w:before="49" w:line="219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售额</w:t>
            </w:r>
          </w:p>
        </w:tc>
        <w:tc>
          <w:tcPr>
            <w:tcW w:w="97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95" w:type="dxa"/>
            <w:vAlign w:val="top"/>
          </w:tcPr>
          <w:p>
            <w:pPr>
              <w:spacing w:before="105" w:line="17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95" w:type="dxa"/>
            <w:vAlign w:val="top"/>
          </w:tcPr>
          <w:p>
            <w:pPr>
              <w:spacing w:before="98" w:line="15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95" w:type="dxa"/>
            <w:vAlign w:val="top"/>
          </w:tcPr>
          <w:p>
            <w:pPr>
              <w:spacing w:before="108" w:line="15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95" w:type="dxa"/>
            <w:vAlign w:val="top"/>
          </w:tcPr>
          <w:p>
            <w:pPr>
              <w:spacing w:before="100" w:line="166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95" w:type="dxa"/>
            <w:vAlign w:val="top"/>
          </w:tcPr>
          <w:p>
            <w:pPr>
              <w:spacing w:before="102" w:line="177" w:lineRule="exact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5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94" w:type="dxa"/>
            <w:gridSpan w:val="2"/>
            <w:vAlign w:val="top"/>
          </w:tcPr>
          <w:p>
            <w:pPr>
              <w:spacing w:before="38" w:line="206" w:lineRule="auto"/>
              <w:ind w:left="9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3047" w:type="dxa"/>
            <w:gridSpan w:val="3"/>
            <w:vAlign w:val="top"/>
          </w:tcPr>
          <w:p>
            <w:pPr>
              <w:spacing w:before="37" w:line="207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(此处填写活动合计数)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4" w:line="219" w:lineRule="auto"/>
        <w:ind w:left="8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注：监测表报送自活动开始至活动结束止，于2023年12月1日和2024年1月1日报送，共报2次。</w:t>
      </w:r>
    </w:p>
    <w:p>
      <w:pPr>
        <w:spacing w:before="70" w:line="239" w:lineRule="auto"/>
        <w:ind w:left="1177" w:right="267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>报送内容采用累进方式，即每次均报送自生活节启动至报送时点的全部活动和合计数，逐次叠加形成最终</w:t>
      </w:r>
      <w:r>
        <w:rPr>
          <w:rFonts w:ascii="宋体" w:hAnsi="宋体" w:eastAsia="宋体" w:cs="宋体"/>
          <w:spacing w:val="-7"/>
          <w:sz w:val="20"/>
          <w:szCs w:val="20"/>
        </w:rPr>
        <w:t>汇总成果。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报送方式可通过传真、邮件等方式发送，最终监测汇总表需提供盖章扫描件存档。</w:t>
      </w:r>
    </w:p>
    <w:p>
      <w:pPr>
        <w:spacing w:before="44" w:line="219" w:lineRule="auto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t>单位名称为省级商务主管部门。</w:t>
      </w:r>
    </w:p>
    <w:p>
      <w:pPr>
        <w:spacing w:before="42" w:line="219" w:lineRule="auto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举办时间按照“年月日”格式填写阿拉伯数字，如</w:t>
      </w:r>
      <w:r>
        <w:rPr>
          <w:rFonts w:ascii="宋体" w:hAnsi="宋体" w:eastAsia="宋体" w:cs="宋体"/>
          <w:spacing w:val="-6"/>
          <w:sz w:val="20"/>
          <w:szCs w:val="20"/>
        </w:rPr>
        <w:t>20231201。</w:t>
      </w:r>
    </w:p>
    <w:p>
      <w:pPr>
        <w:spacing w:before="43" w:line="280" w:lineRule="exact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position w:val="5"/>
          <w:sz w:val="20"/>
          <w:szCs w:val="20"/>
        </w:rPr>
        <w:t>活动类型填写购物节、美食节、团购节等，及老字号、汽车、家电、家居、家政服务、综合促销等。</w:t>
      </w:r>
    </w:p>
    <w:p>
      <w:pPr>
        <w:spacing w:before="1" w:line="218" w:lineRule="auto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>活动方式填写进社区促销、门店促销、线上促</w:t>
      </w:r>
      <w:r>
        <w:rPr>
          <w:rFonts w:ascii="宋体" w:hAnsi="宋体" w:eastAsia="宋体" w:cs="宋体"/>
          <w:spacing w:val="-7"/>
          <w:sz w:val="20"/>
          <w:szCs w:val="20"/>
        </w:rPr>
        <w:t>销、线上线下结合促销、场景体验、公益宜传等。</w:t>
      </w:r>
    </w:p>
    <w:p>
      <w:pPr>
        <w:spacing w:before="42" w:line="219" w:lineRule="auto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t>参加经营主体范围包括商户、行业协会、平台企业、金融机构等。</w:t>
      </w:r>
    </w:p>
    <w:p>
      <w:pPr>
        <w:spacing w:before="44" w:line="280" w:lineRule="exact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position w:val="5"/>
          <w:sz w:val="20"/>
          <w:szCs w:val="20"/>
        </w:rPr>
        <w:t>服务居民数按照活动覆盖便民生活圈数量、客流监测及其他可信方式统计或匡算</w:t>
      </w:r>
      <w:r>
        <w:rPr>
          <w:rFonts w:ascii="宋体" w:hAnsi="宋体" w:eastAsia="宋体" w:cs="宋体"/>
          <w:spacing w:val="-8"/>
          <w:position w:val="5"/>
          <w:sz w:val="20"/>
          <w:szCs w:val="20"/>
        </w:rPr>
        <w:t>。</w:t>
      </w:r>
    </w:p>
    <w:p>
      <w:pPr>
        <w:spacing w:line="218" w:lineRule="auto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t>政府发券金额指采用财政性资金发放的各类优惠券金额。</w:t>
      </w:r>
    </w:p>
    <w:p>
      <w:pPr>
        <w:spacing w:before="43" w:line="280" w:lineRule="exact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position w:val="5"/>
          <w:sz w:val="20"/>
          <w:szCs w:val="20"/>
        </w:rPr>
        <w:t>企业发券金额指商户、银行等金融机构、银联等支付机构及其他社会力量发放的各类优惠券金</w:t>
      </w:r>
      <w:r>
        <w:rPr>
          <w:rFonts w:ascii="宋体" w:hAnsi="宋体" w:eastAsia="宋体" w:cs="宋体"/>
          <w:spacing w:val="-8"/>
          <w:position w:val="5"/>
          <w:sz w:val="20"/>
          <w:szCs w:val="20"/>
        </w:rPr>
        <w:t>额。</w:t>
      </w:r>
    </w:p>
    <w:p>
      <w:pPr>
        <w:spacing w:before="1" w:line="218" w:lineRule="auto"/>
        <w:ind w:left="1177"/>
        <w:sectPr>
          <w:footerReference r:id="rId5" w:type="default"/>
          <w:pgSz w:w="16840" w:h="11900"/>
          <w:pgMar w:top="1011" w:right="2005" w:bottom="400" w:left="1367" w:header="0" w:footer="0" w:gutter="0"/>
          <w:cols w:space="720" w:num="1"/>
        </w:sectPr>
      </w:pPr>
      <w:r>
        <w:rPr>
          <w:rFonts w:ascii="宋体" w:hAnsi="宋体" w:eastAsia="宋体" w:cs="宋体"/>
          <w:spacing w:val="-7"/>
          <w:sz w:val="20"/>
          <w:szCs w:val="20"/>
        </w:rPr>
        <w:t>活动销售额可根据优惠券核销额匡算，也可采用其他可信方式统计或匡算并在备注中</w:t>
      </w:r>
      <w:r>
        <w:rPr>
          <w:rFonts w:ascii="宋体" w:hAnsi="宋体" w:eastAsia="宋体" w:cs="宋体"/>
          <w:spacing w:val="-8"/>
          <w:sz w:val="20"/>
          <w:szCs w:val="20"/>
        </w:rPr>
        <w:t>说明</w:t>
      </w:r>
      <w:r>
        <w:rPr>
          <w:rFonts w:hint="eastAsia" w:ascii="宋体" w:hAnsi="宋体" w:eastAsia="宋体" w:cs="宋体"/>
          <w:spacing w:val="-8"/>
          <w:sz w:val="20"/>
          <w:szCs w:val="20"/>
          <w:lang w:eastAsia="zh-CN"/>
        </w:rPr>
        <w:t>。</w:t>
      </w:r>
      <w:bookmarkStart w:id="0" w:name="_GoBack"/>
      <w:bookmarkEnd w:id="0"/>
    </w:p>
    <w:p>
      <w:pPr>
        <w:spacing w:before="94" w:line="183" w:lineRule="auto"/>
        <w:rPr>
          <w:rFonts w:ascii="宋体" w:hAnsi="宋体" w:eastAsia="宋体" w:cs="宋体"/>
          <w:sz w:val="29"/>
          <w:szCs w:val="29"/>
        </w:rPr>
      </w:pPr>
    </w:p>
    <w:sectPr>
      <w:pgSz w:w="11900" w:h="16840"/>
      <w:pgMar w:top="1431" w:right="1499" w:bottom="40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xOTBiNTA1NTFlMzdjZmY1NGVkMzZkZTFhMWY1ZTYifQ=="/>
  </w:docVars>
  <w:rsids>
    <w:rsidRoot w:val="00000000"/>
    <w:rsid w:val="243934C3"/>
    <w:rsid w:val="65F27D3F"/>
    <w:rsid w:val="76A024A7"/>
    <w:rsid w:val="7DFB6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2023-10-27T14:37:00Z</dcterms:created>
  <dc:creator>Kingsoft-PDF</dc:creator>
  <cp:lastModifiedBy>孟翔</cp:lastModifiedBy>
  <dcterms:modified xsi:type="dcterms:W3CDTF">2023-10-27T07:31:02Z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2023-10-27T14:37:19Z</vt:filetime>
  </property>
  <property fmtid="{D5CDD505-2E9C-101B-9397-08002B2CF9AE}" pid="4" name="UsrData">
    <vt:lpwstr>653b5a9a973eb4001ff2d556wl</vt:lpwstr>
  </property>
  <property fmtid="{D5CDD505-2E9C-101B-9397-08002B2CF9AE}" pid="5" name="KSOProductBuildVer">
    <vt:lpwstr>2052-12.1.0.15712</vt:lpwstr>
  </property>
  <property fmtid="{D5CDD505-2E9C-101B-9397-08002B2CF9AE}" pid="6" name="ICV">
    <vt:lpwstr>7B120A0AD7F14ECFA1F3B4B201C8FBFB_12</vt:lpwstr>
  </property>
</Properties>
</file>