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60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省</w:t>
      </w:r>
      <w:r>
        <w:rPr>
          <w:rFonts w:hint="eastAsia" w:ascii="方正小标宋简体" w:eastAsia="方正小标宋简体"/>
          <w:sz w:val="44"/>
          <w:szCs w:val="44"/>
        </w:rPr>
        <w:t>文化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和旅游市场管理创新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典型案例申报表</w:t>
      </w:r>
    </w:p>
    <w:p>
      <w:pPr>
        <w:spacing w:line="600" w:lineRule="exact"/>
        <w:rPr>
          <w:rFonts w:hint="eastAsia" w:ascii="黑体" w:hAnsi="黑体" w:eastAsia="黑体"/>
          <w:sz w:val="28"/>
          <w:szCs w:val="28"/>
        </w:rPr>
      </w:pPr>
      <w:r>
        <w:fldChar w:fldCharType="begin"/>
      </w:r>
      <w:r>
        <w:instrText xml:space="preserve"> INCLUDEPICTURE "C:\\Users\\fwwy9\\AppData\\Local\\Temp\\ksohtml8064\\wps2.png" \* MERGEFORMATINET </w:instrText>
      </w:r>
      <w:r>
        <w:fldChar w:fldCharType="separate"/>
      </w:r>
      <w:r>
        <w:drawing>
          <wp:inline distT="0" distB="0" distL="114300" distR="114300">
            <wp:extent cx="9525" cy="19050"/>
            <wp:effectExtent l="0" t="0" r="0" b="0"/>
            <wp:docPr id="1" name="图片 1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 w:ascii="黑体" w:hAnsi="黑体" w:eastAsia="黑体"/>
          <w:sz w:val="28"/>
          <w:szCs w:val="28"/>
        </w:rPr>
        <w:t>推荐单位：</w:t>
      </w:r>
      <w:r>
        <w:rPr>
          <w:rFonts w:hint="eastAsia" w:ascii="仿宋_GB2312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="仿宋_GB2312"/>
          <w:sz w:val="28"/>
          <w:szCs w:val="28"/>
        </w:rPr>
        <w:t xml:space="preserve"> 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639"/>
        <w:gridCol w:w="1821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/>
                <w:sz w:val="28"/>
                <w:szCs w:val="28"/>
              </w:rPr>
              <w:t xml:space="preserve">推动行业高质量发展举措  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/>
                <w:sz w:val="28"/>
                <w:szCs w:val="28"/>
              </w:rPr>
              <w:t>创新监管举措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案例标题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（结合典型案例特点，经提炼总结后自拟标题）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申报领域及举措</w:t>
            </w:r>
          </w:p>
          <w:p>
            <w:pPr>
              <w:spacing w:line="400" w:lineRule="exact"/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（多选）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8"/>
                <w:szCs w:val="28"/>
              </w:rPr>
              <w:t>1.行业领域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：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演出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艺术品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上网服务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歌舞娱乐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游艺娱乐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剧本娱乐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电竞酒店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网络音乐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网络表演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网络演出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在线旅游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旅行社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导游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景区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星级饭店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民宿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8"/>
                <w:szCs w:val="28"/>
              </w:rPr>
              <w:t>2.推动行业高质量发展举措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：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行政审批制度改革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优化服务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转型升级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促进消费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文化和旅游融合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文明旅游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助企纾困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优化营商环境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服务质量提升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信用体系建设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扶持行业组织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开展文化和旅游市场季度经济形势研判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8"/>
                <w:szCs w:val="28"/>
              </w:rPr>
              <w:t>3.创新监管举措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：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rPr>
                <w:rFonts w:hint="eastAsia"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监管重点：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针对未成年人保护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文化内容安全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不合理低价游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旅游不文明行为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私设景点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安全生产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经营秩序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pStyle w:val="2"/>
              <w:widowControl/>
              <w:spacing w:before="0" w:beforeAutospacing="0" w:after="0" w:afterAutospacing="0" w:line="4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监管举措：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加强系统治理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依法治理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综合治理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源头治理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新业态包容审慎监管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信用监管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信息化、数字化监管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跨部门综合监管</w:t>
            </w:r>
            <w:r>
              <w:rPr>
                <w:rFonts w:ascii="Wingdings" w:hAnsi="Wingdings"/>
                <w:sz w:val="28"/>
                <w:szCs w:val="28"/>
              </w:rPr>
              <w:t>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>(</w:t>
            </w:r>
            <w:r>
              <w:rPr>
                <w:rFonts w:hint="eastAsia" w:ascii="仿宋_GB2312" w:hAnsi="黑体"/>
                <w:sz w:val="28"/>
                <w:szCs w:val="28"/>
              </w:rPr>
              <w:t>典型案例情况：</w:t>
            </w:r>
            <w:r>
              <w:rPr>
                <w:rFonts w:hint="eastAsia" w:ascii="仿宋_GB2312"/>
                <w:sz w:val="28"/>
                <w:szCs w:val="28"/>
              </w:rPr>
              <w:t>包括基本情况、主要做法（包括政策措施等）、工作成效等，1000字左右)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黑体" w:hAnsi="黑体" w:eastAsia="黑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6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 人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 务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 务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  机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申报单位做如下承诺：</w:t>
            </w:r>
          </w:p>
          <w:p>
            <w:pPr>
              <w:spacing w:line="400" w:lineRule="exact"/>
              <w:rPr>
                <w:rFonts w:hint="eastAsia"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1.本申报表提供的文字材料和图片真实有效。</w:t>
            </w:r>
          </w:p>
          <w:p>
            <w:pPr>
              <w:spacing w:line="4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2.同意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文化和旅游部市场管理司</w:t>
            </w:r>
            <w:r>
              <w:rPr>
                <w:rFonts w:hint="eastAsia" w:ascii="仿宋_GB2312"/>
                <w:sz w:val="24"/>
                <w:szCs w:val="24"/>
              </w:rPr>
              <w:t>在政务公告和宣传中使用本案例相关信息。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 xml:space="preserve">                                        （盖章） 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tbl>
      <w:tblPr>
        <w:tblStyle w:val="3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924"/>
        <w:gridCol w:w="1376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7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 系 人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  务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手  机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8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Calibri"/>
                <w:sz w:val="28"/>
                <w:szCs w:val="28"/>
              </w:rPr>
            </w:pPr>
          </w:p>
          <w:p>
            <w:pPr>
              <w:rPr>
                <w:rFonts w:hint="eastAsia" w:ascii="仿宋_GB2312" w:hAnsi="Calibri"/>
                <w:sz w:val="28"/>
                <w:szCs w:val="28"/>
              </w:rPr>
            </w:pPr>
          </w:p>
          <w:p>
            <w:pPr>
              <w:rPr>
                <w:rFonts w:hint="eastAsia" w:ascii="仿宋_GB2312" w:hAnsi="Calibri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黑体"/>
                <w:sz w:val="28"/>
                <w:szCs w:val="28"/>
              </w:rPr>
              <w:t xml:space="preserve">                                         （盖章） </w:t>
            </w:r>
          </w:p>
          <w:p>
            <w:pPr>
              <w:jc w:val="center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zEzNjNlZjY1ODQ2NWQ0YjAwMDM0OGM0N2Q4OTkifQ=="/>
  </w:docVars>
  <w:rsids>
    <w:rsidRoot w:val="4B6838D5"/>
    <w:rsid w:val="09F459BF"/>
    <w:rsid w:val="437F30DC"/>
    <w:rsid w:val="4B6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2023-09-27T03:02:00Z</dcterms:created>
  <dc:creator>MSW</dc:creator>
  <cp:lastModifiedBy>张志慧</cp:lastModifiedBy>
  <dcterms:modified xsi:type="dcterms:W3CDTF">2023-10-19T07:16:34Z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B85366913C5C443D8986E0AB01105059_12</vt:lpwstr>
  </property>
</Properties>
</file>