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方正小标宋简体" w:hAnsi="方正小标宋简体" w:eastAsia="方正小标宋简体" w:cs="方正小标宋简体"/>
          <w:sz w:val="36"/>
          <w:szCs w:val="36"/>
        </w:rPr>
        <w:t>太原市“2023年度山西省科学技术奖”拟提名项目（</w:t>
      </w:r>
      <w:r>
        <w:rPr>
          <w:rFonts w:hint="eastAsia" w:ascii="方正小标宋简体" w:hAnsi="方正小标宋简体" w:eastAsia="方正小标宋简体" w:cs="方正小标宋简体"/>
          <w:sz w:val="36"/>
          <w:szCs w:val="36"/>
          <w:lang w:val="en-US" w:eastAsia="zh-CN"/>
        </w:rPr>
        <w:t>12</w:t>
      </w:r>
      <w:r>
        <w:rPr>
          <w:rFonts w:hint="eastAsia" w:ascii="方正小标宋简体" w:hAnsi="方正小标宋简体" w:eastAsia="方正小标宋简体" w:cs="方正小标宋简体"/>
          <w:sz w:val="36"/>
          <w:szCs w:val="36"/>
        </w:rPr>
        <w:t>项）</w:t>
      </w:r>
    </w:p>
    <w:p>
      <w:pPr>
        <w:jc w:val="center"/>
        <w:rPr>
          <w:rFonts w:ascii="仿宋" w:hAnsi="仿宋" w:eastAsia="仿宋" w:cs="仿宋"/>
          <w:b/>
          <w:bCs/>
          <w:sz w:val="32"/>
          <w:szCs w:val="32"/>
        </w:rPr>
      </w:pPr>
      <w:r>
        <w:rPr>
          <w:rFonts w:hint="eastAsia" w:ascii="仿宋" w:hAnsi="仿宋" w:eastAsia="仿宋" w:cs="仿宋"/>
          <w:b/>
          <w:bCs/>
          <w:sz w:val="32"/>
          <w:szCs w:val="32"/>
        </w:rPr>
        <w:t>科学技术进步奖（</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项）</w:t>
      </w:r>
    </w:p>
    <w:tbl>
      <w:tblPr>
        <w:tblStyle w:val="9"/>
        <w:tblW w:w="14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901"/>
        <w:gridCol w:w="2809"/>
        <w:gridCol w:w="1825"/>
        <w:gridCol w:w="5893"/>
        <w:gridCol w:w="769"/>
        <w:gridCol w:w="843"/>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9"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序号</w:t>
            </w:r>
          </w:p>
        </w:tc>
        <w:tc>
          <w:tcPr>
            <w:tcW w:w="901" w:type="dxa"/>
            <w:vAlign w:val="center"/>
          </w:tcPr>
          <w:p>
            <w:pPr>
              <w:widowControl/>
              <w:spacing w:line="260" w:lineRule="exact"/>
              <w:ind w:left="-31" w:leftChars="-15" w:right="-31" w:rightChars="-15"/>
              <w:rPr>
                <w:rFonts w:hint="eastAsia" w:ascii="仿宋" w:hAnsi="仿宋" w:eastAsia="仿宋" w:cs="仿宋"/>
                <w:b/>
                <w:kern w:val="0"/>
                <w:sz w:val="18"/>
                <w:szCs w:val="18"/>
              </w:rPr>
            </w:pPr>
            <w:r>
              <w:rPr>
                <w:rFonts w:hint="eastAsia" w:ascii="仿宋" w:hAnsi="仿宋" w:eastAsia="仿宋" w:cs="仿宋"/>
                <w:b/>
                <w:kern w:val="0"/>
                <w:sz w:val="18"/>
                <w:szCs w:val="18"/>
              </w:rPr>
              <w:t>项目名称</w:t>
            </w:r>
          </w:p>
        </w:tc>
        <w:tc>
          <w:tcPr>
            <w:tcW w:w="2809"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项目简介</w:t>
            </w:r>
          </w:p>
        </w:tc>
        <w:tc>
          <w:tcPr>
            <w:tcW w:w="1825"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推广应用情况</w:t>
            </w:r>
          </w:p>
        </w:tc>
        <w:tc>
          <w:tcPr>
            <w:tcW w:w="5893"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主要知识产权证明目录</w:t>
            </w:r>
          </w:p>
        </w:tc>
        <w:tc>
          <w:tcPr>
            <w:tcW w:w="769" w:type="dxa"/>
            <w:vAlign w:val="center"/>
          </w:tcPr>
          <w:p>
            <w:pPr>
              <w:widowControl/>
              <w:spacing w:line="260" w:lineRule="exact"/>
              <w:ind w:left="-31" w:leftChars="-15" w:right="-31" w:rightChars="-15"/>
              <w:jc w:val="center"/>
              <w:rPr>
                <w:rFonts w:hint="eastAsia" w:ascii="仿宋" w:hAnsi="仿宋" w:eastAsia="仿宋" w:cs="仿宋"/>
                <w:sz w:val="18"/>
                <w:szCs w:val="18"/>
              </w:rPr>
            </w:pPr>
            <w:r>
              <w:rPr>
                <w:rFonts w:hint="eastAsia" w:ascii="仿宋" w:hAnsi="仿宋" w:eastAsia="仿宋" w:cs="仿宋"/>
                <w:b/>
                <w:kern w:val="0"/>
                <w:sz w:val="18"/>
                <w:szCs w:val="18"/>
              </w:rPr>
              <w:t>主要完成单位</w:t>
            </w:r>
          </w:p>
        </w:tc>
        <w:tc>
          <w:tcPr>
            <w:tcW w:w="843"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主要</w:t>
            </w:r>
          </w:p>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完成人</w:t>
            </w:r>
          </w:p>
        </w:tc>
        <w:tc>
          <w:tcPr>
            <w:tcW w:w="515" w:type="dxa"/>
            <w:vAlign w:val="center"/>
          </w:tcPr>
          <w:p>
            <w:pPr>
              <w:widowControl/>
              <w:spacing w:line="260" w:lineRule="exact"/>
              <w:ind w:left="-31" w:leftChars="-15" w:right="-31" w:rightChars="-15"/>
              <w:jc w:val="center"/>
              <w:rPr>
                <w:rFonts w:hint="eastAsia" w:ascii="仿宋" w:hAnsi="仿宋" w:eastAsia="仿宋" w:cs="仿宋"/>
                <w:b/>
                <w:kern w:val="0"/>
                <w:sz w:val="18"/>
                <w:szCs w:val="18"/>
              </w:rPr>
            </w:pPr>
            <w:r>
              <w:rPr>
                <w:rFonts w:hint="eastAsia" w:ascii="仿宋" w:hAnsi="仿宋" w:eastAsia="仿宋" w:cs="仿宋"/>
                <w:b/>
                <w:kern w:val="0"/>
                <w:sz w:val="18"/>
                <w:szCs w:val="18"/>
              </w:rPr>
              <w:t>提名意见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rPr>
            </w:pPr>
            <w:r>
              <w:rPr>
                <w:rFonts w:hint="eastAsia" w:ascii="仿宋" w:hAnsi="仿宋" w:eastAsia="仿宋" w:cs="仿宋"/>
                <w:sz w:val="18"/>
                <w:szCs w:val="18"/>
                <w:lang w:val="en-US"/>
              </w:rPr>
              <w:t>1</w:t>
            </w:r>
          </w:p>
        </w:tc>
        <w:tc>
          <w:tcPr>
            <w:tcW w:w="901" w:type="dxa"/>
            <w:vAlign w:val="center"/>
          </w:tcPr>
          <w:p>
            <w:pPr>
              <w:pStyle w:val="11"/>
              <w:spacing w:line="260" w:lineRule="exact"/>
              <w:ind w:left="-31" w:leftChars="-15" w:right="-31" w:rightChars="-15"/>
              <w:rPr>
                <w:rFonts w:hint="eastAsia" w:ascii="仿宋" w:hAnsi="仿宋" w:eastAsia="仿宋" w:cs="仿宋"/>
                <w:sz w:val="18"/>
                <w:szCs w:val="18"/>
              </w:rPr>
            </w:pPr>
            <w:r>
              <w:rPr>
                <w:rFonts w:hint="eastAsia" w:ascii="仿宋" w:hAnsi="仿宋" w:eastAsia="仿宋" w:cs="仿宋"/>
                <w:sz w:val="18"/>
                <w:szCs w:val="18"/>
              </w:rPr>
              <w:t>银屑病患者基因错义突变与间充质干细胞免疫调控机理及转化医学系列研究</w:t>
            </w:r>
          </w:p>
        </w:tc>
        <w:tc>
          <w:tcPr>
            <w:tcW w:w="2809"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color w:val="000000" w:themeColor="text1"/>
                <w:kern w:val="2"/>
                <w:sz w:val="18"/>
                <w:szCs w:val="18"/>
                <w:lang w:val="zh-CN" w:eastAsia="zh-CN" w:bidi="zh-CN"/>
                <w14:textFill>
                  <w14:solidFill>
                    <w14:schemeClr w14:val="tx1"/>
                  </w14:solidFill>
                </w14:textFill>
              </w:rPr>
              <w:t>银屑病是一种由遗传、环境、免疫因素共同参与的慢性复发性炎症性皮肤病，</w:t>
            </w:r>
            <w:r>
              <w:rPr>
                <w:rFonts w:hint="eastAsia" w:ascii="仿宋" w:hAnsi="仿宋" w:eastAsia="仿宋" w:cs="仿宋"/>
                <w:color w:val="000000" w:themeColor="text1"/>
                <w:kern w:val="2"/>
                <w:sz w:val="18"/>
                <w:szCs w:val="18"/>
                <w:lang w:val="en-US" w:eastAsia="zh-CN" w:bidi="zh-CN"/>
                <w14:textFill>
                  <w14:solidFill>
                    <w14:schemeClr w14:val="tx1"/>
                  </w14:solidFill>
                </w14:textFill>
              </w:rPr>
              <w:t>基因与免疫因素在</w:t>
            </w:r>
            <w:r>
              <w:rPr>
                <w:rFonts w:hint="eastAsia" w:ascii="仿宋" w:hAnsi="仿宋" w:eastAsia="仿宋" w:cs="仿宋"/>
                <w:color w:val="000000" w:themeColor="text1"/>
                <w:kern w:val="2"/>
                <w:sz w:val="18"/>
                <w:szCs w:val="18"/>
                <w:lang w:val="zh-CN" w:eastAsia="zh-CN" w:bidi="zh-CN"/>
                <w14:textFill>
                  <w14:solidFill>
                    <w14:schemeClr w14:val="tx1"/>
                  </w14:solidFill>
                </w14:textFill>
              </w:rPr>
              <w:t>银屑病的</w:t>
            </w:r>
            <w:r>
              <w:rPr>
                <w:rFonts w:hint="eastAsia" w:ascii="仿宋" w:hAnsi="仿宋" w:eastAsia="仿宋" w:cs="仿宋"/>
                <w:color w:val="000000" w:themeColor="text1"/>
                <w:kern w:val="2"/>
                <w:sz w:val="18"/>
                <w:szCs w:val="18"/>
                <w:lang w:val="en-US" w:eastAsia="zh-CN" w:bidi="zh-CN"/>
                <w14:textFill>
                  <w14:solidFill>
                    <w14:schemeClr w14:val="tx1"/>
                  </w14:solidFill>
                </w14:textFill>
              </w:rPr>
              <w:t>发病与</w:t>
            </w:r>
            <w:r>
              <w:rPr>
                <w:rFonts w:hint="eastAsia" w:ascii="仿宋" w:hAnsi="仿宋" w:eastAsia="仿宋" w:cs="仿宋"/>
                <w:color w:val="000000" w:themeColor="text1"/>
                <w:kern w:val="2"/>
                <w:sz w:val="18"/>
                <w:szCs w:val="18"/>
                <w:lang w:val="zh-CN" w:eastAsia="zh-CN" w:bidi="zh-CN"/>
                <w14:textFill>
                  <w14:solidFill>
                    <w14:schemeClr w14:val="tx1"/>
                  </w14:solidFill>
                </w14:textFill>
              </w:rPr>
              <w:t>转归中具有重要意义。</w:t>
            </w:r>
            <w:r>
              <w:rPr>
                <w:rFonts w:hint="eastAsia" w:ascii="仿宋" w:hAnsi="仿宋" w:eastAsia="仿宋" w:cs="仿宋"/>
                <w:sz w:val="18"/>
                <w:szCs w:val="18"/>
                <w:lang w:val="en-US"/>
              </w:rPr>
              <w:t>该项目</w:t>
            </w:r>
            <w:r>
              <w:rPr>
                <w:rFonts w:hint="eastAsia" w:ascii="仿宋" w:hAnsi="仿宋" w:eastAsia="仿宋" w:cs="仿宋"/>
                <w:color w:val="000000" w:themeColor="text1"/>
                <w:kern w:val="2"/>
                <w:sz w:val="18"/>
                <w:szCs w:val="18"/>
                <w:lang w:val="zh-CN" w:eastAsia="zh-CN" w:bidi="zh-CN"/>
                <w14:textFill>
                  <w14:solidFill>
                    <w14:schemeClr w14:val="tx1"/>
                  </w14:solidFill>
                </w14:textFill>
              </w:rPr>
              <w:t>受</w:t>
            </w:r>
            <w:r>
              <w:rPr>
                <w:rFonts w:hint="eastAsia" w:ascii="仿宋" w:hAnsi="仿宋" w:eastAsia="仿宋" w:cs="仿宋"/>
                <w:color w:val="000000" w:themeColor="text1"/>
                <w:kern w:val="2"/>
                <w:sz w:val="18"/>
                <w:szCs w:val="18"/>
                <w:lang w:val="en-US" w:eastAsia="zh-CN" w:bidi="zh-CN"/>
                <w14:textFill>
                  <w14:solidFill>
                    <w14:schemeClr w14:val="tx1"/>
                  </w14:solidFill>
                </w14:textFill>
              </w:rPr>
              <w:t>2</w:t>
            </w:r>
            <w:r>
              <w:rPr>
                <w:rFonts w:hint="eastAsia" w:ascii="仿宋" w:hAnsi="仿宋" w:eastAsia="仿宋" w:cs="仿宋"/>
                <w:color w:val="000000" w:themeColor="text1"/>
                <w:kern w:val="2"/>
                <w:sz w:val="18"/>
                <w:szCs w:val="18"/>
                <w:lang w:val="zh-CN" w:eastAsia="zh-CN" w:bidi="zh-CN"/>
                <w14:textFill>
                  <w14:solidFill>
                    <w14:schemeClr w14:val="tx1"/>
                  </w14:solidFill>
                </w14:textFill>
              </w:rPr>
              <w:t>项国家自然科学基金系列资助，</w:t>
            </w:r>
            <w:r>
              <w:rPr>
                <w:rFonts w:hint="eastAsia" w:ascii="仿宋" w:hAnsi="仿宋" w:eastAsia="仿宋" w:cs="仿宋"/>
                <w:sz w:val="18"/>
                <w:szCs w:val="18"/>
                <w:lang w:val="en-US"/>
              </w:rPr>
              <w:t>从间充质干细胞和基因突变入手</w:t>
            </w:r>
            <w:r>
              <w:rPr>
                <w:rFonts w:hint="eastAsia" w:ascii="仿宋" w:hAnsi="仿宋" w:eastAsia="仿宋" w:cs="仿宋"/>
                <w:sz w:val="18"/>
                <w:szCs w:val="18"/>
                <w:lang w:val="en-US" w:eastAsia="zh-CN"/>
              </w:rPr>
              <w:t>，</w:t>
            </w:r>
            <w:r>
              <w:rPr>
                <w:rFonts w:hint="eastAsia" w:ascii="仿宋" w:hAnsi="仿宋" w:eastAsia="仿宋" w:cs="仿宋"/>
                <w:sz w:val="18"/>
                <w:szCs w:val="18"/>
                <w:lang w:val="en-US"/>
              </w:rPr>
              <w:t>通过对患病不一致单卵双胞胎和散发银屑病患者的系列研究，证实了de novo突变和错义突变在银屑病发病中的重要作用，并筛选出与银屑病发病和转归密切相关的突变基因和TCR表达模式，为银屑病病情评估提供了评价指标；通过系列研究间充质干细胞对角质形成细胞、血管内皮细胞、T细胞的作用，充实了银屑病干细胞研究成果，为研究银屑病治疗新靶点提供了理论依据。</w:t>
            </w:r>
          </w:p>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sz w:val="18"/>
                <w:szCs w:val="18"/>
                <w:lang w:val="en-US"/>
              </w:rPr>
              <w:t>获得国家发明专利1项，先后在国内外权威期刊发表学术论文37篇，其中在国际权威期刊发表30篇。研究成果对于指导银屑病等免疫性皮肤病的研究及治疗具有重要意义，研究成果在空军军医大学第一医院（西京医院）等大型医院进行了广泛应用，产生很好的社会效益。空军军医大学第一医院（西京医院）王刚教授、海军军医大学第二附属医院（上海长征医院）廖万清院士等给予了该项目较高的评价，认为该项目达到了国际先进水平。</w:t>
            </w:r>
          </w:p>
        </w:tc>
        <w:tc>
          <w:tcPr>
            <w:tcW w:w="1825"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sz w:val="18"/>
                <w:szCs w:val="18"/>
                <w:lang w:val="en-US"/>
              </w:rPr>
              <w:t>研究结果为银屑病发病与转归评估提供了新的实验室评价指标，为银屑病治疗提供了新的靶点，对皮肤病学、遗传学、免疫学等的研究均具有较大的帮助，项目获得的发明专利广泛应用于心脑血管疾病、皮肤组织创伤愈合等的研究中</w:t>
            </w:r>
            <w:r>
              <w:rPr>
                <w:rFonts w:hint="eastAsia" w:ascii="仿宋" w:hAnsi="仿宋" w:eastAsia="仿宋" w:cs="仿宋"/>
                <w:sz w:val="18"/>
                <w:szCs w:val="18"/>
                <w:lang w:val="en-US" w:eastAsia="zh-CN"/>
              </w:rPr>
              <w:t>。</w:t>
            </w:r>
            <w:r>
              <w:rPr>
                <w:rFonts w:hint="eastAsia" w:ascii="仿宋" w:hAnsi="仿宋" w:eastAsia="仿宋" w:cs="仿宋"/>
                <w:sz w:val="18"/>
                <w:szCs w:val="18"/>
                <w:lang w:val="en-US"/>
              </w:rPr>
              <w:t>2001年皮肤科门诊量为2.07万，之后每年以10-15%的速度递增，近年达28万，其中银屑病患者占总门诊量的10%以上，病人</w:t>
            </w:r>
            <w:r>
              <w:rPr>
                <w:rFonts w:hint="eastAsia" w:ascii="仿宋" w:hAnsi="仿宋" w:eastAsia="仿宋" w:cs="仿宋"/>
                <w:sz w:val="18"/>
                <w:szCs w:val="18"/>
                <w:lang w:val="en-US" w:eastAsia="zh-CN"/>
              </w:rPr>
              <w:t>来自</w:t>
            </w:r>
            <w:r>
              <w:rPr>
                <w:rFonts w:hint="eastAsia" w:ascii="仿宋" w:hAnsi="仿宋" w:eastAsia="仿宋" w:cs="仿宋"/>
                <w:sz w:val="18"/>
                <w:szCs w:val="18"/>
                <w:lang w:val="en-US"/>
              </w:rPr>
              <w:t>全省及周边省市，</w:t>
            </w:r>
            <w:r>
              <w:rPr>
                <w:rFonts w:hint="eastAsia" w:ascii="仿宋" w:hAnsi="仿宋" w:eastAsia="仿宋" w:cs="仿宋"/>
                <w:sz w:val="18"/>
                <w:szCs w:val="18"/>
                <w:lang w:val="en-US" w:eastAsia="zh-CN"/>
              </w:rPr>
              <w:t>甚至</w:t>
            </w:r>
            <w:r>
              <w:rPr>
                <w:rFonts w:hint="eastAsia" w:ascii="仿宋" w:hAnsi="仿宋" w:eastAsia="仿宋" w:cs="仿宋"/>
                <w:sz w:val="18"/>
                <w:szCs w:val="18"/>
                <w:lang w:val="en-US"/>
              </w:rPr>
              <w:t>东北三省、海南省等远方省市；2022年门诊治疗银屑病患者近1.5万例，住院收治500余例，取得了很好的治疗效果。</w:t>
            </w:r>
          </w:p>
        </w:tc>
        <w:tc>
          <w:tcPr>
            <w:tcW w:w="5893" w:type="dxa"/>
            <w:vAlign w:val="center"/>
          </w:tcPr>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国家基金结题报告：</w:t>
            </w: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r>
              <w:rPr>
                <w:rFonts w:hint="eastAsia" w:cs="仿宋"/>
                <w:b w:val="0"/>
                <w:bCs w:val="0"/>
                <w:sz w:val="18"/>
                <w:szCs w:val="18"/>
                <w:lang w:val="en-US" w:eastAsia="zh-CN"/>
              </w:rPr>
              <w:t>.</w:t>
            </w:r>
            <w:r>
              <w:rPr>
                <w:rFonts w:hint="eastAsia" w:ascii="仿宋" w:hAnsi="仿宋" w:eastAsia="仿宋" w:cs="仿宋"/>
                <w:b w:val="0"/>
                <w:bCs w:val="0"/>
                <w:sz w:val="18"/>
                <w:szCs w:val="18"/>
                <w:lang w:val="en-US" w:eastAsia="zh-CN"/>
              </w:rPr>
              <w:t>《MiR-155对真皮间充质干细胞的影响及其在银屑病发病过程中的作用》（81602768），起止时间：2017.01-2019.12</w:t>
            </w: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r>
              <w:rPr>
                <w:rFonts w:hint="eastAsia" w:cs="仿宋"/>
                <w:b w:val="0"/>
                <w:bCs w:val="0"/>
                <w:sz w:val="18"/>
                <w:szCs w:val="18"/>
                <w:lang w:val="en-US" w:eastAsia="zh-CN"/>
              </w:rPr>
              <w:t>.</w:t>
            </w:r>
            <w:r>
              <w:rPr>
                <w:rFonts w:hint="eastAsia" w:ascii="仿宋" w:hAnsi="仿宋" w:eastAsia="仿宋" w:cs="仿宋"/>
                <w:b w:val="0"/>
                <w:bCs w:val="0"/>
                <w:sz w:val="18"/>
                <w:szCs w:val="18"/>
                <w:lang w:val="en-US" w:eastAsia="zh-CN"/>
              </w:rPr>
              <w:t>《单卵双胞胎银屑病患者de novo突变的细胞模型验证及T细胞功能/表观遗传研究》（81773336），起止时间：2018.01-2021.12</w:t>
            </w: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val="0"/>
                <w:bCs w:val="0"/>
                <w:sz w:val="18"/>
                <w:szCs w:val="18"/>
                <w:lang w:val="en-US" w:eastAsia="zh-CN"/>
              </w:rPr>
            </w:pP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发明专利：</w:t>
            </w: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val="0"/>
                <w:bCs w:val="0"/>
                <w:sz w:val="18"/>
                <w:szCs w:val="18"/>
              </w:rPr>
            </w:pPr>
            <w:r>
              <w:rPr>
                <w:rFonts w:hint="eastAsia" w:cs="仿宋"/>
                <w:b w:val="0"/>
                <w:bCs w:val="0"/>
                <w:sz w:val="18"/>
                <w:szCs w:val="18"/>
                <w:lang w:val="en-US" w:eastAsia="zh-CN"/>
              </w:rPr>
              <w:t>1.</w:t>
            </w:r>
            <w:r>
              <w:rPr>
                <w:rFonts w:hint="eastAsia" w:ascii="仿宋" w:hAnsi="仿宋" w:eastAsia="仿宋" w:cs="仿宋"/>
                <w:b w:val="0"/>
                <w:bCs w:val="0"/>
                <w:sz w:val="18"/>
                <w:szCs w:val="18"/>
              </w:rPr>
              <w:t>一种诱导人间充质干细胞向血管内皮细胞分化的方法ZL201810206452.3</w:t>
            </w: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val="0"/>
                <w:bCs w:val="0"/>
                <w:sz w:val="18"/>
                <w:szCs w:val="18"/>
              </w:rPr>
            </w:pPr>
          </w:p>
          <w:p>
            <w:pPr>
              <w:pStyle w:val="11"/>
              <w:widowControl w:val="0"/>
              <w:wordWrap/>
              <w:adjustRightInd/>
              <w:snapToGrid/>
              <w:spacing w:line="200" w:lineRule="exact"/>
              <w:ind w:left="-31" w:leftChars="-15" w:right="-31" w:rightChars="-15" w:firstLine="0" w:firstLineChars="0"/>
              <w:jc w:val="both"/>
              <w:textAlignment w:val="auto"/>
              <w:outlineLvl w:val="9"/>
              <w:rPr>
                <w:rFonts w:hint="eastAsia" w:ascii="仿宋" w:hAnsi="仿宋" w:eastAsia="仿宋" w:cs="仿宋"/>
                <w:b/>
                <w:bCs/>
                <w:sz w:val="18"/>
                <w:szCs w:val="18"/>
              </w:rPr>
            </w:pPr>
            <w:r>
              <w:rPr>
                <w:rFonts w:hint="eastAsia" w:cs="仿宋"/>
                <w:b/>
                <w:bCs/>
                <w:sz w:val="18"/>
                <w:szCs w:val="18"/>
                <w:lang w:eastAsia="zh-CN"/>
              </w:rPr>
              <w:t>学术</w:t>
            </w:r>
            <w:r>
              <w:rPr>
                <w:rFonts w:hint="eastAsia" w:ascii="仿宋" w:hAnsi="仿宋" w:eastAsia="仿宋" w:cs="仿宋"/>
                <w:b/>
                <w:bCs/>
                <w:sz w:val="18"/>
                <w:szCs w:val="18"/>
              </w:rPr>
              <w:t>论文：</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Jiao J, Zhao X, Hou R, Wang Y, Chang W, Liang N, Liu Y, Xing J, Cao Y, Li X, Zhang K. Comparison of two commonly used methods for stimulating T cells. Biotechnol Lett. 2019; 41(12):1361-1371.</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 J, Lin H, Hou R, Shen J, Li X, Xing J, He F, Wu X, Zhao X, Sun L, Fan X, Niu X, Liu Y, Liu R, An P, Qu T, Chang W, Wang Q, Zhou L, Li J, Wang Z, Jiao J, Wang Y, Wang G, Liang N, Liang J, Liang Y, Hou H, Shi Y, Yang X, Li J, Dang E, Yin G, Yang X, Zhang G, Gao Q, Fang X, Li X, Zhang K. Multi-omics study in monozygotic twins confirm the contribution of de novo mutation to psoriasis. J Autoimmun. 2020; 106:102349.</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3</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Xing J, Zhao X, Li X, Wang Y, Li J, Hou R, Niu X, Yin G, Li X, Zhang K. Variation at ACOT12 and CT62 locus represents susceptibility to psoriasis in Han population. Mol Genet Genomic Med. 2020; 8(2):e1098.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4</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 J, Xing J, Lu F, Chang W, Liang N, Li J, Wang Y, Li X, Zhao X, Hou R, Man M, Yin G, Li X, Zhang K. Psoriatic Dermal-derived Mesenchymal Stem Cells Reduce Keratinocyte Junctions, and Increase Glycolysis. Acta Derm Venereol. 2020; 100(8):adv00122.</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5</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Li X, Zhao X, Xing J, J Li, F He, R Hou, Q Wang, G Yin, X Li, K Zhang. Different epigenome regulation and transcriptome expression of CD4+ and CD8+ T cells from monozygotic twins discordant for psoriasis. Australas J Dermatol. 2020; 61(4)：e388-e394.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6</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Wang Y, Liang Y, Li J, R Hou, J Li, N Liang, J Xing, J Jiao, W Chang, X Li, K Zhang. Expression and functional regulation of gap junction protein connexin 43 in dermal mesenchymal stem cells from psoriasis patients. Acta Histochem. 2020; 122(4):151550.</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7</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 X, Li J, Lu F, Y Cao, J Xing, J Li, R Hou, G Yin, K Zhang. Role of SPRED1 in keratinocyte proliferation in psoriasis. J Dermatol. 2020; 47(7):735-742.</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8</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Wang J, Zhou L, Hou H, Li J, Zhao X, Li J, Li J, Niu X, Hou R, Zhang K. IL-17A is involved in the hyperplasia of blood vessels in local lesions of psoriasis by inhibiting autophagy. J Cosmet Dermatol. 2023 Aug 27. doi: 10.1111/jocd.15975. Epub ahead of print. </w:t>
            </w:r>
            <w:r>
              <w:rPr>
                <w:rFonts w:hint="eastAsia" w:ascii="仿宋" w:hAnsi="仿宋" w:eastAsia="仿宋" w:cs="仿宋"/>
                <w:b w:val="0"/>
                <w:bCs w:val="0"/>
                <w:sz w:val="18"/>
                <w:szCs w:val="18"/>
              </w:rPr>
              <w:t>PMID: 37635345.</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9</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 J, Li X, He F, X Zhao, R Hou, H Lin, J Shen, X Wu, Q Liao, J Xing, G Yin, X Li, K Zhang. Cross-sectional study reveals that HLA-C*07:02 is a potential biomarker of early onset/lesion severity of psoriasis. Exp Dermatol. 2020; 29:639-646.</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10</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An P, Xing J, Peng A, Zhao X, Chang W, Liang N, Cao Y, Li J, Li J, Hou R, Li X, Zhang K. The regulation of dermal mesenchymal stem cells on keratinocytes apoptosis. Cell Tissue Bank. 2021; 22(1):57-56.</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11</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Hou H, Li J, Zhou L, Liang J, Wang J, Li J, Hou R, Li J, Yang X, Zhang K. An effective method of isolating microvascular endothelial cells from the human dermis. Cell Biol Int. 2020; 44(12):2588-2597.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12</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Zhou L, Wang J, Liang J, Hou H, Li J, Li J, Cao Y, Li J, Zhang K. Psoriatic mesenchymal stem cells stimulate the angiogenesis of human umbilical vein endothelial cells in vitro. Microvasc Res. 2021; 136:104151.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13</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Li J, Hou H, Zhou L, Wang J, Liang J, Li J, Hou R, Niu X, Yin G, Li X, Zhang K. Increased angiogenesis and migration of dermal microvascular endothelial cells from patients with psoriasis. Exp Dermatol. 2021; 30(7):973-981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14</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Chang W, Liang N, Cao Y, Xing J, Li J, Li J, Zhao X, Li J, Niu X, Hou R, Yin G, Zhang K. The effects of human dermal-derived mesenchymal stem cells on the keratinocyte proliferation and apoptosis in psoriasis. Exp Dermatol. 2021; 30(7):943-950.</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15</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Zhao X, Xing J, Li J, Hou R, Niu X, Liu R, Jiao J, Yang X, Li J, Liang J, Zhou L, Wang Q, Chang W, Yin G, Li X, Zhang K. Dysregulated Dermal Mesenchymal Stem Cell Proliferation and Differentiation Interfered by Glucose Metabolism in Psoriasis. Int J Stem Cells. 2021; 14(1):85-93.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16</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Liang N, Chang W, Peng A, Cao Y, Li J, Wang Y, Jiao J, Zhang K. Dermal Mesenchymal Stem Cells from Psoriatic Lesions Stimulate HaCaT Cell Proliferation, Differentiation, and Migration via Activating the PI3K/AKT Signaling Pathway. Dermatology. 2022; 238(2):283-291.</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17</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Zhao X, Jiao J, Li X, Hou R, Li J, Niu X, Liu R, Yang X, Li J, Liang J, Zhou L, Wang Q, Chang W, Wang F, Yin G, Li X, Zhang K. Immunomodulatory effect of psoriasis-derived dermal mesenchymal stem cells on TH1/TH17 cells. Eur J Dermatol. 2021; 31(3):318-325.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18</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Cao Y, Liang NN, Chang WJ, Li JQ, Jiao JJ, Hou RX, Li J, Zhang KM. Role of psoriatic keratinocytes in the metabolic reprogramming of dermal mesenchymal stem cells. Int J Dermatol. 2022;61(3):337-345.</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19</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 J, Liu Y, Cao Y, Wang J, Zhao X, Jiao J, Li J, Zhang K, Yin G. Inhibition of miR-155 Attenuates CD14+ Monocyte-Mediated Inflammatory Response and Oxidative Stress in Psoriasis Through TLR4/MyD88/NF-</w:t>
            </w:r>
            <w:r>
              <w:rPr>
                <w:rFonts w:hint="eastAsia" w:ascii="仿宋" w:hAnsi="仿宋" w:eastAsia="仿宋" w:cs="仿宋"/>
                <w:b w:val="0"/>
                <w:bCs w:val="0"/>
                <w:sz w:val="18"/>
                <w:szCs w:val="18"/>
              </w:rPr>
              <w:t>κ</w:t>
            </w:r>
            <w:r>
              <w:rPr>
                <w:rFonts w:hint="eastAsia" w:ascii="仿宋" w:hAnsi="仿宋" w:eastAsia="仿宋" w:cs="仿宋"/>
                <w:b w:val="0"/>
                <w:bCs w:val="0"/>
                <w:sz w:val="18"/>
                <w:szCs w:val="18"/>
                <w:lang w:val="en-US"/>
              </w:rPr>
              <w:t>B Signaling Pathway. Clin Cosmet Investig Dermatol. 2022; 15:193-201.</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20</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Liu Y, Zhao X, Li J, Zhou L, Chang W, Li J, Hou R, Li J, Yin G, Li X, Zhang K. MicroRNA-155 effects on the biological characteristics of dermal mesenchymal stem cells. Journal of Dermatological Science. 2022; S0923-1811(22)00031-7.</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21</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Wang Q, Wang C, Zhao X, Li X, Li J, Hou R, Yin G, Zhang K. MicroRNA-31 overexpression may aggravate the formation of psoriasis-like lesions by STAT3/p53 pathway. Indian Journal of Dermatology. 2021; 66(6):598-603.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22</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Xing J, Wang Y, Zhao X, Li J, Hou R, Niu X, Yin G, Li X, Zhang K. Variants in PRKCE and KLC1, Potential Regulators of Type I Psoriasis. Clin Cosmet Investig Dermatol. 2022; 15:1237-1245.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23</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Jiao J, Zhao X, Wang Y, Liang N, Li J, Yang X, Xing J, Zhou L, Li J, Hou R, Li X, Zhang K. Normal mesenchymal stem cells can improve the abnormal function of T cells in psoriasis via upregulating transforming growth factor-</w:t>
            </w:r>
            <w:r>
              <w:rPr>
                <w:rFonts w:hint="eastAsia" w:ascii="仿宋" w:hAnsi="仿宋" w:eastAsia="仿宋" w:cs="仿宋"/>
                <w:b w:val="0"/>
                <w:bCs w:val="0"/>
                <w:sz w:val="18"/>
                <w:szCs w:val="18"/>
              </w:rPr>
              <w:t>β</w:t>
            </w:r>
            <w:r>
              <w:rPr>
                <w:rFonts w:hint="eastAsia" w:ascii="仿宋" w:hAnsi="仿宋" w:eastAsia="仿宋" w:cs="仿宋"/>
                <w:b w:val="0"/>
                <w:bCs w:val="0"/>
                <w:sz w:val="18"/>
                <w:szCs w:val="18"/>
                <w:lang w:val="en-US"/>
              </w:rPr>
              <w:t xml:space="preserve">receptor. J Dermatol. 2022; 49(10):988-997.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24</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Liu R, Zhang L, Zhao X, Liu J, Chang W, Zhou L, Zhang K. circRNA: Regulatory factors and potential therapeutic targets in inflammatory dermatoses. J Cell Mol Med. 2022; 26(16):4389-4400.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25</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Li X, Xing J, Wang F, Li J, Li J, Hou R, Zhang K. The mRNA Expression Profile of Psoriatic Lesion Distinct from Non-Lesion. Clin Cosmet Investig Dermatol. 2022; 15:2035-2043.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26</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Peng A, Lu F, Xing J, Dou Y, Yao Y, Li J, Li J, Hou R, Zhang K, Yin G. Psoriatic Dermal-Derived Mesenchymal Stem Cells Induced C3 Expression in Keratinocytes. Clin Cosmet Investig Dermatol. 2022; 15:1489-1497.</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27</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Hou H, Li J, Wang J, Zhou L, Li J, Liang J, Yin G, Li X, Cheng Y, Zhang K. ITGA9 Inhibits Proliferation and Migration of Dermal Microvascular Endothelial Cells in Psoriasis. Clin Cosmet Investig Dermatol. 2022; 15:2795-2806.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28</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Wang F, Hou R, Li J, Zhao X, Wang Q, Zhang K, Li X. Psoriatic Serum Induce an Abnormal Inflammatory Phenotype and a Decreased Immunosuppressive Function of Mesenchymal Stem Cells. Int J Stem Cells. 2022;15(2):155-163.</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rPr>
              <w:t>29</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Zhou L, Wang J, Hou H, Li J, Li J, Liang J, Li J, Niu X, Hou R, Zhang K. Autophagy Inhibits Inflammation via Down-Regulation of p38 MAPK/mTOR Signaling Cascade in Endothelial Cells. Clin Cosmet Investig Dermatol. 2023; 16 :859-860 </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lang w:val="en-US"/>
              </w:rPr>
              <w:t>30</w:t>
            </w:r>
            <w:r>
              <w:rPr>
                <w:rFonts w:hint="eastAsia" w:cs="仿宋"/>
                <w:b w:val="0"/>
                <w:bCs w:val="0"/>
                <w:sz w:val="18"/>
                <w:szCs w:val="18"/>
                <w:lang w:val="en-US" w:eastAsia="zh-CN"/>
              </w:rPr>
              <w:t>.</w:t>
            </w:r>
            <w:r>
              <w:rPr>
                <w:rFonts w:hint="eastAsia" w:ascii="仿宋" w:hAnsi="仿宋" w:eastAsia="仿宋" w:cs="仿宋"/>
                <w:b w:val="0"/>
                <w:bCs w:val="0"/>
                <w:sz w:val="18"/>
                <w:szCs w:val="18"/>
                <w:lang w:val="en-US"/>
              </w:rPr>
              <w:t xml:space="preserve">Liang H, Li J, Zhang K. Pathogenic role of S100 proteins in psoriasis. </w:t>
            </w:r>
            <w:r>
              <w:rPr>
                <w:rFonts w:hint="eastAsia" w:ascii="仿宋" w:hAnsi="仿宋" w:eastAsia="仿宋" w:cs="仿宋"/>
                <w:b w:val="0"/>
                <w:bCs w:val="0"/>
                <w:sz w:val="18"/>
                <w:szCs w:val="18"/>
              </w:rPr>
              <w:t>Front Immunol. 2023; 14:1191645.</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31</w:t>
            </w:r>
            <w:r>
              <w:rPr>
                <w:rFonts w:hint="eastAsia" w:cs="仿宋"/>
                <w:b w:val="0"/>
                <w:bCs w:val="0"/>
                <w:sz w:val="18"/>
                <w:szCs w:val="18"/>
                <w:lang w:val="en-US" w:eastAsia="zh-CN"/>
              </w:rPr>
              <w:t>.</w:t>
            </w:r>
            <w:r>
              <w:rPr>
                <w:rFonts w:hint="eastAsia" w:ascii="仿宋" w:hAnsi="仿宋" w:eastAsia="仿宋" w:cs="仿宋"/>
                <w:b w:val="0"/>
                <w:bCs w:val="0"/>
                <w:sz w:val="18"/>
                <w:szCs w:val="18"/>
              </w:rPr>
              <w:t>侯慧，李娇，梁见楠，周玲，梁艳阳，侯瑞霞，李俊琴，张开明. 嘌呤霉素介导的人真皮微血管内皮细胞的分离纯化培养与鉴定. 中国皮肤性病学杂志，2019,33（11）:1255-1259.</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32</w:t>
            </w:r>
            <w:r>
              <w:rPr>
                <w:rFonts w:hint="eastAsia" w:cs="仿宋"/>
                <w:b w:val="0"/>
                <w:bCs w:val="0"/>
                <w:sz w:val="18"/>
                <w:szCs w:val="18"/>
                <w:lang w:val="en-US" w:eastAsia="zh-CN"/>
              </w:rPr>
              <w:t>.</w:t>
            </w:r>
            <w:r>
              <w:rPr>
                <w:rFonts w:hint="eastAsia" w:ascii="仿宋" w:hAnsi="仿宋" w:eastAsia="仿宋" w:cs="仿宋"/>
                <w:b w:val="0"/>
                <w:bCs w:val="0"/>
                <w:sz w:val="18"/>
                <w:szCs w:val="18"/>
              </w:rPr>
              <w:t>梁男男，常文娟，张开明. 银屑病皮损间充质干细胞对人角质形成细胞增殖及凋亡的影响,实用皮肤病学杂志，2020，13（04）：205-208.</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33</w:t>
            </w:r>
            <w:r>
              <w:rPr>
                <w:rFonts w:hint="eastAsia" w:cs="仿宋"/>
                <w:b w:val="0"/>
                <w:bCs w:val="0"/>
                <w:sz w:val="18"/>
                <w:szCs w:val="18"/>
                <w:lang w:val="en-US" w:eastAsia="zh-CN"/>
              </w:rPr>
              <w:t>.</w:t>
            </w:r>
            <w:r>
              <w:rPr>
                <w:rFonts w:hint="eastAsia" w:ascii="仿宋" w:hAnsi="仿宋" w:eastAsia="仿宋" w:cs="仿宋"/>
                <w:b w:val="0"/>
                <w:bCs w:val="0"/>
                <w:sz w:val="18"/>
                <w:szCs w:val="18"/>
              </w:rPr>
              <w:t>邢建晓，刘燕敏，李小芳，李娇，侯慧，李娟，李俊琴，张开明.银屑病患者皮损间充质干细胞的培养鉴定及其表达HES1和CXCL6的研究,中华皮肤科杂志，2020，53（12）：1004-1007.</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34</w:t>
            </w:r>
            <w:r>
              <w:rPr>
                <w:rFonts w:hint="eastAsia" w:cs="仿宋"/>
                <w:b w:val="0"/>
                <w:bCs w:val="0"/>
                <w:sz w:val="18"/>
                <w:szCs w:val="18"/>
                <w:lang w:val="en-US" w:eastAsia="zh-CN"/>
              </w:rPr>
              <w:t>.</w:t>
            </w:r>
            <w:r>
              <w:rPr>
                <w:rFonts w:hint="eastAsia" w:ascii="仿宋" w:hAnsi="仿宋" w:eastAsia="仿宋" w:cs="仿宋"/>
                <w:b w:val="0"/>
                <w:bCs w:val="0"/>
                <w:sz w:val="18"/>
                <w:szCs w:val="18"/>
              </w:rPr>
              <w:t>曹越，梁男男，梁艳阳，李俊琴，张开明. 寻常性银屑病患者皮损角质形成细胞的能量代谢水平.中国皮肤性病学杂志，2021,35（4）：477-480.</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35</w:t>
            </w:r>
            <w:r>
              <w:rPr>
                <w:rFonts w:hint="eastAsia" w:cs="仿宋"/>
                <w:b w:val="0"/>
                <w:bCs w:val="0"/>
                <w:sz w:val="18"/>
                <w:szCs w:val="18"/>
                <w:lang w:val="en-US" w:eastAsia="zh-CN"/>
              </w:rPr>
              <w:t>.</w:t>
            </w:r>
            <w:r>
              <w:rPr>
                <w:rFonts w:hint="eastAsia" w:ascii="仿宋" w:hAnsi="仿宋" w:eastAsia="仿宋" w:cs="仿宋"/>
                <w:b w:val="0"/>
                <w:bCs w:val="0"/>
                <w:sz w:val="18"/>
                <w:szCs w:val="18"/>
              </w:rPr>
              <w:t>刘燕敏，赵新程，李俊琴，张开明.银屑病患者外周血淋巴细胞亚群的变化.基础医学与临床, 2021, 41(3):415-418.</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b w:val="0"/>
                <w:bCs w:val="0"/>
                <w:sz w:val="18"/>
                <w:szCs w:val="18"/>
              </w:rPr>
            </w:pPr>
            <w:r>
              <w:rPr>
                <w:rFonts w:hint="eastAsia" w:ascii="仿宋" w:hAnsi="仿宋" w:eastAsia="仿宋" w:cs="仿宋"/>
                <w:b w:val="0"/>
                <w:bCs w:val="0"/>
                <w:sz w:val="18"/>
                <w:szCs w:val="18"/>
              </w:rPr>
              <w:t>36</w:t>
            </w:r>
            <w:r>
              <w:rPr>
                <w:rFonts w:hint="eastAsia" w:cs="仿宋"/>
                <w:b w:val="0"/>
                <w:bCs w:val="0"/>
                <w:sz w:val="18"/>
                <w:szCs w:val="18"/>
                <w:lang w:val="en-US" w:eastAsia="zh-CN"/>
              </w:rPr>
              <w:t>.</w:t>
            </w:r>
            <w:r>
              <w:rPr>
                <w:rFonts w:hint="eastAsia" w:ascii="仿宋" w:hAnsi="仿宋" w:eastAsia="仿宋" w:cs="仿宋"/>
                <w:b w:val="0"/>
                <w:bCs w:val="0"/>
                <w:sz w:val="18"/>
                <w:szCs w:val="18"/>
              </w:rPr>
              <w:t>王芳，刘瑞风，潘宏，孟媛.银屑病患者皮损间充质干细胞生物学特性研究.临床皮肤科杂志, 2021,50(10):589-594.</w:t>
            </w:r>
          </w:p>
          <w:p>
            <w:pPr>
              <w:pStyle w:val="11"/>
              <w:keepNext w:val="0"/>
              <w:keepLines w:val="0"/>
              <w:pageBreakBefore w:val="0"/>
              <w:widowControl w:val="0"/>
              <w:kinsoku/>
              <w:wordWrap/>
              <w:overflowPunct/>
              <w:topLinePunct w:val="0"/>
              <w:autoSpaceDE/>
              <w:autoSpaceDN/>
              <w:bidi w:val="0"/>
              <w:adjustRightInd/>
              <w:snapToGrid/>
              <w:spacing w:line="200" w:lineRule="exact"/>
              <w:ind w:left="180" w:leftChars="0" w:right="0" w:rightChars="0" w:hanging="180" w:hangingChars="100"/>
              <w:jc w:val="both"/>
              <w:textAlignment w:val="auto"/>
              <w:outlineLvl w:val="9"/>
              <w:rPr>
                <w:rFonts w:hint="eastAsia" w:ascii="仿宋" w:hAnsi="仿宋" w:eastAsia="仿宋" w:cs="仿宋"/>
                <w:sz w:val="18"/>
                <w:szCs w:val="18"/>
                <w:lang w:val="en-US"/>
              </w:rPr>
            </w:pPr>
            <w:r>
              <w:rPr>
                <w:rFonts w:hint="eastAsia" w:ascii="仿宋" w:hAnsi="仿宋" w:eastAsia="仿宋" w:cs="仿宋"/>
                <w:b w:val="0"/>
                <w:bCs w:val="0"/>
                <w:sz w:val="18"/>
                <w:szCs w:val="18"/>
              </w:rPr>
              <w:t>37</w:t>
            </w:r>
            <w:r>
              <w:rPr>
                <w:rFonts w:hint="eastAsia" w:cs="仿宋"/>
                <w:b w:val="0"/>
                <w:bCs w:val="0"/>
                <w:sz w:val="18"/>
                <w:szCs w:val="18"/>
                <w:lang w:val="en-US" w:eastAsia="zh-CN"/>
              </w:rPr>
              <w:t>.</w:t>
            </w:r>
            <w:r>
              <w:rPr>
                <w:rFonts w:hint="eastAsia" w:ascii="仿宋" w:hAnsi="仿宋" w:eastAsia="仿宋" w:cs="仿宋"/>
                <w:b w:val="0"/>
                <w:bCs w:val="0"/>
                <w:sz w:val="18"/>
                <w:szCs w:val="18"/>
              </w:rPr>
              <w:t>王方迪，侯瑞霞，李俊琴，李新华.间充质干细胞对T细胞免疫调节机制的研究进展.中国免疫学杂志, 2021, 37(22):2715-2721.</w:t>
            </w:r>
          </w:p>
        </w:tc>
        <w:tc>
          <w:tcPr>
            <w:tcW w:w="769" w:type="dxa"/>
            <w:vAlign w:val="center"/>
          </w:tcPr>
          <w:p>
            <w:pPr>
              <w:pStyle w:val="11"/>
              <w:spacing w:line="260" w:lineRule="exact"/>
              <w:ind w:left="-31" w:leftChars="-15" w:right="-31" w:rightChars="-15"/>
              <w:jc w:val="left"/>
              <w:rPr>
                <w:rFonts w:hint="eastAsia" w:ascii="仿宋" w:hAnsi="仿宋" w:eastAsia="仿宋" w:cs="仿宋"/>
                <w:sz w:val="18"/>
                <w:szCs w:val="18"/>
                <w:lang w:val="en-US"/>
              </w:rPr>
            </w:pPr>
            <w:r>
              <w:rPr>
                <w:rFonts w:hint="eastAsia" w:ascii="仿宋" w:hAnsi="仿宋" w:eastAsia="仿宋" w:cs="仿宋"/>
                <w:sz w:val="18"/>
                <w:szCs w:val="18"/>
                <w:lang w:val="en-US"/>
              </w:rPr>
              <w:t>太原市中心医院</w:t>
            </w:r>
          </w:p>
        </w:tc>
        <w:tc>
          <w:tcPr>
            <w:tcW w:w="843" w:type="dxa"/>
            <w:vAlign w:val="center"/>
          </w:tcPr>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张开明、尹国华、李新华、李俊琴、唱文娟、程月爱、侯瑞霞、刘瑞风、曲</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val="en-US"/>
              </w:rPr>
              <w:t>彤、李</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val="en-US"/>
              </w:rPr>
              <w:t>娇</w:t>
            </w:r>
          </w:p>
        </w:tc>
        <w:tc>
          <w:tcPr>
            <w:tcW w:w="515" w:type="dxa"/>
            <w:vAlign w:val="center"/>
          </w:tcPr>
          <w:p>
            <w:pPr>
              <w:pStyle w:val="11"/>
              <w:spacing w:line="260" w:lineRule="exact"/>
              <w:ind w:left="-31" w:leftChars="-15" w:right="-31" w:rightChars="-15"/>
              <w:rPr>
                <w:rFonts w:hint="eastAsia" w:ascii="仿宋" w:hAnsi="仿宋" w:eastAsia="仿宋" w:cs="仿宋"/>
                <w:sz w:val="18"/>
                <w:szCs w:val="18"/>
              </w:rPr>
            </w:pPr>
            <w:r>
              <w:rPr>
                <w:rFonts w:hint="eastAsia" w:ascii="仿宋" w:hAnsi="仿宋" w:eastAsia="仿宋" w:cs="仿宋"/>
                <w:sz w:val="18"/>
                <w:szCs w:val="18"/>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8"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901" w:type="dxa"/>
            <w:vAlign w:val="center"/>
          </w:tcPr>
          <w:p>
            <w:pPr>
              <w:pStyle w:val="11"/>
              <w:widowControl w:val="0"/>
              <w:wordWrap/>
              <w:adjustRightInd/>
              <w:snapToGrid/>
              <w:spacing w:line="260" w:lineRule="exact"/>
              <w:ind w:left="-31" w:leftChars="-15" w:right="-31" w:rightChars="-15"/>
              <w:jc w:val="both"/>
              <w:textAlignment w:val="auto"/>
              <w:rPr>
                <w:rFonts w:hint="eastAsia" w:ascii="仿宋" w:hAnsi="仿宋" w:eastAsia="仿宋" w:cs="仿宋"/>
                <w:sz w:val="18"/>
                <w:szCs w:val="18"/>
              </w:rPr>
            </w:pPr>
            <w:r>
              <w:rPr>
                <w:rFonts w:hint="eastAsia" w:ascii="仿宋" w:hAnsi="仿宋" w:eastAsia="仿宋" w:cs="仿宋"/>
                <w:color w:val="auto"/>
                <w:sz w:val="18"/>
                <w:szCs w:val="18"/>
                <w:lang w:eastAsia="zh-CN"/>
              </w:rPr>
              <w:t>抗G蛋白偶联受体自身抗体在子痫前期中的作用及机制</w:t>
            </w:r>
          </w:p>
        </w:tc>
        <w:tc>
          <w:tcPr>
            <w:tcW w:w="2809" w:type="dxa"/>
            <w:vAlign w:val="center"/>
          </w:tcPr>
          <w:p>
            <w:pPr>
              <w:pStyle w:val="11"/>
              <w:widowControl w:val="0"/>
              <w:wordWrap/>
              <w:adjustRightInd/>
              <w:snapToGrid/>
              <w:spacing w:line="260" w:lineRule="exact"/>
              <w:ind w:left="-31" w:leftChars="-15" w:right="-31" w:rightChars="-15" w:firstLine="360" w:firstLineChars="200"/>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子痫前期（PE）是严重的妊娠期特发疾病，发病率约5-10%，是母婴发病率及死亡率较高的主要原因。研究表明抗G蛋白偶联受体自身抗体尤其血管紧张素II-1型受体自身抗体（AT1-AA）参与子痫前期的发生发展，但具体机制不清。该项目</w:t>
            </w:r>
            <w:r>
              <w:rPr>
                <w:rFonts w:hint="eastAsia" w:ascii="仿宋" w:hAnsi="仿宋" w:eastAsia="仿宋" w:cs="仿宋"/>
                <w:color w:val="000000" w:themeColor="text1"/>
                <w:kern w:val="2"/>
                <w:sz w:val="18"/>
                <w:szCs w:val="18"/>
                <w:lang w:val="zh-CN" w:eastAsia="zh-CN" w:bidi="zh-CN"/>
                <w14:textFill>
                  <w14:solidFill>
                    <w14:schemeClr w14:val="tx1"/>
                  </w14:solidFill>
                </w14:textFill>
              </w:rPr>
              <w:t>受</w:t>
            </w:r>
            <w:r>
              <w:rPr>
                <w:rFonts w:hint="eastAsia" w:ascii="仿宋" w:hAnsi="仿宋" w:eastAsia="仿宋" w:cs="仿宋"/>
                <w:color w:val="000000" w:themeColor="text1"/>
                <w:kern w:val="2"/>
                <w:sz w:val="18"/>
                <w:szCs w:val="18"/>
                <w:lang w:val="en-US" w:eastAsia="zh-CN" w:bidi="zh-CN"/>
                <w14:textFill>
                  <w14:solidFill>
                    <w14:schemeClr w14:val="tx1"/>
                  </w14:solidFill>
                </w14:textFill>
              </w:rPr>
              <w:t>2</w:t>
            </w:r>
            <w:r>
              <w:rPr>
                <w:rFonts w:hint="eastAsia" w:ascii="仿宋" w:hAnsi="仿宋" w:eastAsia="仿宋" w:cs="仿宋"/>
                <w:color w:val="000000" w:themeColor="text1"/>
                <w:kern w:val="2"/>
                <w:sz w:val="18"/>
                <w:szCs w:val="18"/>
                <w:lang w:val="zh-CN" w:eastAsia="zh-CN" w:bidi="zh-CN"/>
                <w14:textFill>
                  <w14:solidFill>
                    <w14:schemeClr w14:val="tx1"/>
                  </w14:solidFill>
                </w14:textFill>
              </w:rPr>
              <w:t>项国家自然科学基金系列资助，</w:t>
            </w:r>
            <w:r>
              <w:rPr>
                <w:rFonts w:hint="eastAsia" w:ascii="仿宋" w:hAnsi="仿宋" w:eastAsia="仿宋" w:cs="仿宋"/>
                <w:color w:val="auto"/>
                <w:sz w:val="18"/>
                <w:szCs w:val="18"/>
                <w:lang w:val="en-US" w:eastAsia="zh-CN"/>
              </w:rPr>
              <w:t>从临床的病理表现出发，探讨抗G蛋白偶联受体自身抗体对PE患者的作用。</w:t>
            </w:r>
          </w:p>
          <w:p>
            <w:pPr>
              <w:pStyle w:val="11"/>
              <w:widowControl w:val="0"/>
              <w:wordWrap/>
              <w:adjustRightInd/>
              <w:snapToGrid/>
              <w:spacing w:line="260" w:lineRule="exact"/>
              <w:ind w:left="-31" w:leftChars="-15" w:right="-31" w:rightChars="-15" w:firstLine="360" w:firstLineChars="200"/>
              <w:jc w:val="both"/>
              <w:textAlignment w:val="auto"/>
              <w:rPr>
                <w:rFonts w:hint="eastAsia" w:ascii="仿宋" w:hAnsi="仿宋" w:eastAsia="仿宋" w:cs="仿宋"/>
                <w:sz w:val="18"/>
                <w:szCs w:val="18"/>
                <w:lang w:val="en-US"/>
              </w:rPr>
            </w:pPr>
            <w:r>
              <w:rPr>
                <w:rFonts w:hint="eastAsia" w:ascii="仿宋" w:hAnsi="仿宋" w:eastAsia="仿宋" w:cs="仿宋"/>
                <w:color w:val="auto"/>
                <w:sz w:val="18"/>
                <w:szCs w:val="18"/>
                <w:lang w:val="en-US" w:eastAsia="zh-CN"/>
              </w:rPr>
              <w:t>该项目建立了抗体的SA-ELISA检测方法，制定了抗体阳性的判断标准，以此为基础研制了不同G-蛋白偶联受体抗体检测试剂盒，并在临床中实验性投入使用。可以正确测定患者和实验动物血清抗体水平；试剂盒检出抗体阳性患者病情重、预后差，采用针对性治疗可以改善预后。</w:t>
            </w:r>
          </w:p>
        </w:tc>
        <w:tc>
          <w:tcPr>
            <w:tcW w:w="1825" w:type="dxa"/>
            <w:vAlign w:val="center"/>
          </w:tcPr>
          <w:p>
            <w:pPr>
              <w:pStyle w:val="11"/>
              <w:widowControl w:val="0"/>
              <w:wordWrap/>
              <w:adjustRightInd/>
              <w:snapToGrid/>
              <w:spacing w:line="260" w:lineRule="exact"/>
              <w:ind w:left="-31" w:leftChars="-15" w:right="-31" w:rightChars="-15" w:firstLine="360" w:firstLineChars="200"/>
              <w:jc w:val="both"/>
              <w:textAlignment w:val="auto"/>
              <w:rPr>
                <w:rFonts w:hint="eastAsia" w:ascii="仿宋" w:hAnsi="仿宋" w:eastAsia="仿宋" w:cs="仿宋"/>
                <w:sz w:val="18"/>
                <w:szCs w:val="18"/>
                <w:lang w:val="en-US"/>
              </w:rPr>
            </w:pPr>
            <w:r>
              <w:rPr>
                <w:rFonts w:hint="eastAsia" w:ascii="仿宋" w:hAnsi="仿宋" w:eastAsia="仿宋" w:cs="仿宋"/>
                <w:color w:val="auto"/>
                <w:sz w:val="18"/>
                <w:szCs w:val="18"/>
                <w:lang w:val="en-US" w:eastAsia="zh-CN"/>
              </w:rPr>
              <w:t>该项目的研究成果在太原市中心医院、市人民医院、市第二人民医院等医院妇产科、实验室得到应用，根据本项目研究结果，在临床上对子痫前期患者AT1-AA检测，并对AT1-AA阳性患者，尤其醛固酮分泌异常、胎盘血管功能失稳态的患者临床治疗提供了新的思路，具有良好的社会效益。</w:t>
            </w:r>
          </w:p>
        </w:tc>
        <w:tc>
          <w:tcPr>
            <w:tcW w:w="5893" w:type="dxa"/>
            <w:vAlign w:val="center"/>
          </w:tcPr>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国家基金结题报告：</w:t>
            </w: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1.《抗血管紧张素II-1型受体自身抗体抑制大鼠醛固酮分泌的机制研究》（81471478）起止时间：2015.01-2018.12</w:t>
            </w: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2.《血管紧张素II-1型受体自身抗体致子痫前期胎盘血管功能失稳态的分子机制研究》（91539205）起止时间：2016.01-2019.12</w:t>
            </w: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val="0"/>
                <w:bCs w:val="0"/>
                <w:color w:val="auto"/>
                <w:sz w:val="18"/>
                <w:szCs w:val="18"/>
                <w:lang w:val="en-US" w:eastAsia="zh-CN"/>
              </w:rPr>
            </w:pP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发明专利：</w:t>
            </w:r>
          </w:p>
          <w:p>
            <w:pPr>
              <w:pStyle w:val="11"/>
              <w:widowControl w:val="0"/>
              <w:wordWrap/>
              <w:adjustRightInd w:val="0"/>
              <w:snapToGrid w:val="0"/>
              <w:spacing w:line="200" w:lineRule="exact"/>
              <w:ind w:left="0" w:leftChars="0" w:right="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1.一种环肽及其制备方法和用途ZL201810052284.7</w:t>
            </w:r>
          </w:p>
          <w:p>
            <w:pPr>
              <w:pStyle w:val="11"/>
              <w:widowControl w:val="0"/>
              <w:wordWrap/>
              <w:adjustRightInd w:val="0"/>
              <w:snapToGrid w:val="0"/>
              <w:spacing w:line="200" w:lineRule="exact"/>
              <w:ind w:left="0" w:leftChars="0" w:right="0"/>
              <w:jc w:val="both"/>
              <w:textAlignment w:val="auto"/>
              <w:outlineLvl w:val="9"/>
              <w:rPr>
                <w:rFonts w:hint="eastAsia" w:ascii="仿宋" w:hAnsi="仿宋" w:eastAsia="仿宋" w:cs="仿宋"/>
                <w:color w:val="auto"/>
                <w:sz w:val="18"/>
                <w:szCs w:val="18"/>
                <w:lang w:val="en-US" w:eastAsia="zh-CN"/>
              </w:rPr>
            </w:pP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实用新型专利：</w:t>
            </w:r>
          </w:p>
          <w:p>
            <w:pPr>
              <w:pStyle w:val="11"/>
              <w:widowControl w:val="0"/>
              <w:wordWrap/>
              <w:adjustRightInd w:val="0"/>
              <w:snapToGrid w:val="0"/>
              <w:spacing w:line="200" w:lineRule="exact"/>
              <w:ind w:left="0" w:leftChars="0" w:right="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1.气动双推式乳化器ZL201820930039.7</w:t>
            </w:r>
          </w:p>
          <w:p>
            <w:pPr>
              <w:pStyle w:val="11"/>
              <w:widowControl w:val="0"/>
              <w:wordWrap/>
              <w:adjustRightInd w:val="0"/>
              <w:snapToGrid w:val="0"/>
              <w:spacing w:line="200" w:lineRule="exact"/>
              <w:ind w:left="0" w:leftChars="0" w:right="0"/>
              <w:jc w:val="both"/>
              <w:textAlignment w:val="auto"/>
              <w:outlineLvl w:val="9"/>
              <w:rPr>
                <w:rFonts w:hint="eastAsia" w:ascii="仿宋" w:hAnsi="仿宋" w:eastAsia="仿宋" w:cs="仿宋"/>
                <w:color w:val="auto"/>
                <w:sz w:val="18"/>
                <w:szCs w:val="18"/>
                <w:lang w:val="en-US" w:eastAsia="zh-CN"/>
              </w:rPr>
            </w:pPr>
          </w:p>
          <w:p>
            <w:pPr>
              <w:pStyle w:val="11"/>
              <w:widowControl w:val="0"/>
              <w:wordWrap/>
              <w:adjustRightInd/>
              <w:snapToGrid/>
              <w:spacing w:line="200" w:lineRule="exact"/>
              <w:ind w:left="-31" w:leftChars="-15" w:right="-31" w:rightChars="-15"/>
              <w:jc w:val="both"/>
              <w:textAlignment w:val="auto"/>
              <w:outlineLvl w:val="9"/>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val="en-US" w:eastAsia="zh-CN"/>
              </w:rPr>
              <w:t>论著</w:t>
            </w:r>
            <w:r>
              <w:rPr>
                <w:rFonts w:hint="eastAsia" w:ascii="仿宋" w:hAnsi="仿宋" w:eastAsia="仿宋" w:cs="仿宋"/>
                <w:b/>
                <w:bCs/>
                <w:color w:val="auto"/>
                <w:sz w:val="18"/>
                <w:szCs w:val="18"/>
                <w:lang w:eastAsia="zh-CN"/>
              </w:rPr>
              <w:t>：</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1.朱进霞主编，医学生理学，高等教育出版社，2015.9，参编，ISBN 978-7-04-0043831-4，2017年获得第十届校级优秀教材一等奖。</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2.刘慧荣主编，医学生理学，首医自编，2016.12，参编。</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3.王雯主编，病理生理学在线课程，人民卫生出版社，2019.4，参编，ISBN 978-7-117-27086-1。</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4.裴建明等主编，心血管生理学基础与临床（第3版），高等教育出版社，2020.4，参编，ISBN 978-7-04-053761-1。</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5.李利生、王伟主编，医学机能学实验，北京大学医学出版社，2021.11，参编，ISBN 978-7-5659-2516-0。</w:t>
            </w:r>
          </w:p>
          <w:p>
            <w:pPr>
              <w:pStyle w:val="11"/>
              <w:widowControl w:val="0"/>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p>
          <w:p>
            <w:pPr>
              <w:pStyle w:val="11"/>
              <w:widowControl w:val="0"/>
              <w:wordWrap/>
              <w:adjustRightInd w:val="0"/>
              <w:snapToGrid w:val="0"/>
              <w:spacing w:line="200" w:lineRule="exact"/>
              <w:ind w:left="0" w:leftChars="0" w:right="0"/>
              <w:jc w:val="both"/>
              <w:textAlignment w:val="auto"/>
              <w:outlineLvl w:val="9"/>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学术论文：</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1.</w:t>
            </w:r>
            <w:r>
              <w:rPr>
                <w:rFonts w:hint="eastAsia" w:ascii="仿宋" w:hAnsi="仿宋" w:eastAsia="仿宋" w:cs="仿宋"/>
                <w:i w:val="0"/>
                <w:iCs w:val="0"/>
                <w:caps w:val="0"/>
                <w:color w:val="auto"/>
                <w:spacing w:val="0"/>
                <w:sz w:val="18"/>
                <w:szCs w:val="18"/>
                <w:shd w:val="clear" w:color="auto" w:fill="FFFFFF"/>
              </w:rPr>
              <w:t xml:space="preserve">Zhang X, Zhang S, Wang M, Chen H, Liu H. Advances in the allostery of angiotensin II type 1 receptor. Cell Biosci. 2023 Jun 17;13(1):110.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2.</w:t>
            </w:r>
            <w:r>
              <w:rPr>
                <w:rFonts w:hint="eastAsia" w:ascii="仿宋" w:hAnsi="仿宋" w:eastAsia="仿宋" w:cs="仿宋"/>
                <w:i w:val="0"/>
                <w:iCs w:val="0"/>
                <w:caps w:val="0"/>
                <w:color w:val="auto"/>
                <w:spacing w:val="0"/>
                <w:sz w:val="18"/>
                <w:szCs w:val="18"/>
                <w:shd w:val="clear" w:color="auto" w:fill="FFFFFF"/>
              </w:rPr>
              <w:t xml:space="preserve">Li Y, Tian Y, Shi S, Hou X, Hao H, Ma M, Ning N, Yuan Y, Wang X, Liu H, Wang L. Epac1 participates in β1-adrenoreceptor autoantibody-mediated decreased autophagic flux in cardiomyocytes. Biochim Biophys Acta Mol Cell Res.2023 Oct;1870(7):119512.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3.</w:t>
            </w:r>
            <w:r>
              <w:rPr>
                <w:rFonts w:hint="eastAsia" w:ascii="仿宋" w:hAnsi="仿宋" w:eastAsia="仿宋" w:cs="仿宋"/>
                <w:i w:val="0"/>
                <w:iCs w:val="0"/>
                <w:caps w:val="0"/>
                <w:color w:val="auto"/>
                <w:spacing w:val="0"/>
                <w:sz w:val="18"/>
                <w:szCs w:val="18"/>
                <w:shd w:val="clear" w:color="auto" w:fill="FFFFFF"/>
              </w:rPr>
              <w:t>Hao Chen, Suli Zhang, Ruiqi Hou, Huirong Liu</w:t>
            </w:r>
            <w:r>
              <w:rPr>
                <w:rFonts w:hint="eastAsia" w:ascii="仿宋" w:hAnsi="仿宋" w:eastAsia="仿宋" w:cs="仿宋"/>
                <w:i w:val="0"/>
                <w:iCs w:val="0"/>
                <w:caps w:val="0"/>
                <w:color w:val="auto"/>
                <w:spacing w:val="0"/>
                <w:sz w:val="18"/>
                <w:szCs w:val="18"/>
                <w:shd w:val="clear" w:color="auto" w:fill="FFFFFF"/>
                <w:lang w:val="en-US" w:eastAsia="zh-CN"/>
              </w:rPr>
              <w:t xml:space="preserve"> H</w:t>
            </w:r>
            <w:r>
              <w:rPr>
                <w:rFonts w:hint="eastAsia" w:ascii="仿宋" w:hAnsi="仿宋" w:eastAsia="仿宋" w:cs="仿宋"/>
                <w:i w:val="0"/>
                <w:iCs w:val="0"/>
                <w:caps w:val="0"/>
                <w:color w:val="auto"/>
                <w:spacing w:val="0"/>
                <w:sz w:val="18"/>
                <w:szCs w:val="18"/>
                <w:shd w:val="clear" w:color="auto" w:fill="FFFFFF"/>
              </w:rPr>
              <w:t>. Gi-protein-coupled β1-adrenergic receptor: re-understanding the selectivity of β1-adrenergic receptor to G protein. ABBS.2022 Aug 25;54(8):1043-1048.</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4.</w:t>
            </w:r>
            <w:r>
              <w:rPr>
                <w:rFonts w:hint="eastAsia" w:ascii="仿宋" w:hAnsi="仿宋" w:eastAsia="仿宋" w:cs="仿宋"/>
                <w:i w:val="0"/>
                <w:iCs w:val="0"/>
                <w:caps w:val="0"/>
                <w:color w:val="auto"/>
                <w:spacing w:val="0"/>
                <w:sz w:val="18"/>
                <w:szCs w:val="18"/>
                <w:shd w:val="clear" w:color="auto" w:fill="FFFFFF"/>
              </w:rPr>
              <w:t xml:space="preserve">Wu Y, Fan X, Yu H, Liu J, Duan Y, Zhang S, Yan L, Du Y, Liu H. Macrophage polarization is involved in liver fibrosis induced by β1-adrenoceptor autoantibody. Acta Biochim Biophys Sin (Shanghai). 2022 Aug 25;54(8):1100-1112.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5.</w:t>
            </w:r>
            <w:r>
              <w:rPr>
                <w:rFonts w:hint="eastAsia" w:ascii="仿宋" w:hAnsi="仿宋" w:eastAsia="仿宋" w:cs="仿宋"/>
                <w:i w:val="0"/>
                <w:iCs w:val="0"/>
                <w:caps w:val="0"/>
                <w:color w:val="auto"/>
                <w:spacing w:val="0"/>
                <w:sz w:val="18"/>
                <w:szCs w:val="18"/>
                <w:shd w:val="clear" w:color="auto" w:fill="FFFFFF"/>
              </w:rPr>
              <w:t xml:space="preserve">Chen H, Zhang S, Zhang X, Liu H. QR code model: a new possibility for GPCR phosphorylation recognition. Cell Commun Signal. 2022 Mar 2;20(1):23.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6.</w:t>
            </w:r>
            <w:r>
              <w:rPr>
                <w:rFonts w:hint="eastAsia" w:ascii="仿宋" w:hAnsi="仿宋" w:eastAsia="仿宋" w:cs="仿宋"/>
                <w:i w:val="0"/>
                <w:iCs w:val="0"/>
                <w:caps w:val="0"/>
                <w:color w:val="auto"/>
                <w:spacing w:val="0"/>
                <w:sz w:val="18"/>
                <w:szCs w:val="18"/>
                <w:shd w:val="clear" w:color="auto" w:fill="FFFFFF"/>
              </w:rPr>
              <w:t xml:space="preserve">Wang M, Yin X, Li S, Zhang X, Yi M, He C, Li X, Wang W, Zhang S, Liu H. Large-Conductance Calcium-Activated Potassium Channel Opener, NS1619, Protects Against Mesenteric Artery Remodeling Induced by Agonistic Autoantibodies Against the Angiotensin II Type 1 Receptor. J Am Heart Assoc. 2022 Feb 15;11(4):e024046.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7.</w:t>
            </w:r>
            <w:r>
              <w:rPr>
                <w:rFonts w:hint="eastAsia" w:ascii="仿宋" w:hAnsi="仿宋" w:eastAsia="仿宋" w:cs="仿宋"/>
                <w:i w:val="0"/>
                <w:iCs w:val="0"/>
                <w:caps w:val="0"/>
                <w:color w:val="auto"/>
                <w:spacing w:val="0"/>
                <w:sz w:val="18"/>
                <w:szCs w:val="18"/>
                <w:shd w:val="clear" w:color="auto" w:fill="FFFFFF"/>
              </w:rPr>
              <w:t xml:space="preserve">Chen H, Cao N, Wang L, Wu Y, Wei H, Li Y, Zhang Y, Zhang S, Liu H. Biased activation of β2-AR/Gi/GRK2 signal pathway attenuated β1-AR sustained activation induced by β1-adrenergic receptor autoantibody. Cell Death Discov. 2021 Nov 8;7(1):340.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8.</w:t>
            </w:r>
            <w:r>
              <w:rPr>
                <w:rFonts w:hint="eastAsia" w:ascii="仿宋" w:hAnsi="仿宋" w:eastAsia="仿宋" w:cs="仿宋"/>
                <w:i w:val="0"/>
                <w:iCs w:val="0"/>
                <w:caps w:val="0"/>
                <w:color w:val="auto"/>
                <w:spacing w:val="0"/>
                <w:sz w:val="18"/>
                <w:szCs w:val="18"/>
                <w:shd w:val="clear" w:color="auto" w:fill="FFFFFF"/>
              </w:rPr>
              <w:t xml:space="preserve">He C, Li X, Wang M, Zhang S, Liu H. Deletion of BK channels decreased skeletal and cardiac muscle function but increased smooth muscle contraction in rats. Biochem Biophys Res Commun. 2021 Sep 17;570:8-14.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9.</w:t>
            </w:r>
            <w:r>
              <w:rPr>
                <w:rFonts w:hint="eastAsia" w:ascii="仿宋" w:hAnsi="仿宋" w:eastAsia="仿宋" w:cs="仿宋"/>
                <w:i w:val="0"/>
                <w:iCs w:val="0"/>
                <w:caps w:val="0"/>
                <w:color w:val="auto"/>
                <w:spacing w:val="0"/>
                <w:sz w:val="18"/>
                <w:szCs w:val="18"/>
                <w:shd w:val="clear" w:color="auto" w:fill="FFFFFF"/>
              </w:rPr>
              <w:t xml:space="preserve">Zhao Y, Bai Y, Li Y, Dong Y, Guo Y, Wang W, Liu H. Disturbance of myocardial metabolism participates in autoantibodies against β1-adrenoceptor-induced cardiac dysfunction. Clin Exp Pharmacol Physiol. 2021 Jun;48(6):846-854.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10.</w:t>
            </w:r>
            <w:r>
              <w:rPr>
                <w:rFonts w:hint="eastAsia" w:ascii="仿宋" w:hAnsi="仿宋" w:eastAsia="仿宋" w:cs="仿宋"/>
                <w:i w:val="0"/>
                <w:iCs w:val="0"/>
                <w:caps w:val="0"/>
                <w:color w:val="auto"/>
                <w:spacing w:val="0"/>
                <w:sz w:val="18"/>
                <w:szCs w:val="18"/>
                <w:shd w:val="clear" w:color="auto" w:fill="FFFFFF"/>
              </w:rPr>
              <w:t>Bai L, Wang M, Zhang S, Yue M, Guo Y, Wang P, Liu H. AT1-receptor autoantibody exposure in utero contributes to cardiac dysfunction and increased glycolysis in fetal mice. Acta Biochim Biophys Sin (Shanghai). 2020 Dec 29;52(12):1373-1381.</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i w:val="0"/>
                <w:iCs w:val="0"/>
                <w:caps w:val="0"/>
                <w:color w:val="auto"/>
                <w:spacing w:val="0"/>
                <w:sz w:val="18"/>
                <w:szCs w:val="18"/>
                <w:shd w:val="clear" w:color="auto" w:fill="FFFFFF"/>
                <w:lang w:val="en-US" w:eastAsia="zh-CN"/>
              </w:rPr>
              <w:t>11.</w:t>
            </w:r>
            <w:r>
              <w:rPr>
                <w:rFonts w:hint="eastAsia" w:ascii="仿宋" w:hAnsi="仿宋" w:eastAsia="仿宋" w:cs="仿宋"/>
                <w:i w:val="0"/>
                <w:iCs w:val="0"/>
                <w:caps w:val="0"/>
                <w:color w:val="auto"/>
                <w:spacing w:val="0"/>
                <w:sz w:val="18"/>
                <w:szCs w:val="18"/>
                <w:shd w:val="clear" w:color="auto" w:fill="FFFFFF"/>
              </w:rPr>
              <w:t xml:space="preserve">Liu F, Yang G, Guo R, Xue L, Wang L, Guo J, Yang X. Increased levels of angiotensin II type 1 receptor autoantibodies in female infertility. Syst Biol Reprod Med. 2021 Apr;67(2):160-167.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12.Xiaoyun Wang*, Xiangrong Liu, Xiaoqiang Wang, Liqing Wu, Suli Zhang, Huirong Liu*. Identify the main molecular mechanism of AT1R non-desensitization. International Journal of Biomathematics. Vol. 13, No. 06, 2050052 (2020) ((August 2020).</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13.</w:t>
            </w:r>
            <w:r>
              <w:rPr>
                <w:rFonts w:hint="eastAsia" w:ascii="仿宋" w:hAnsi="仿宋" w:eastAsia="仿宋" w:cs="仿宋"/>
                <w:i w:val="0"/>
                <w:iCs w:val="0"/>
                <w:caps w:val="0"/>
                <w:color w:val="auto"/>
                <w:spacing w:val="0"/>
                <w:sz w:val="18"/>
                <w:szCs w:val="18"/>
                <w:shd w:val="clear" w:color="auto" w:fill="FFFFFF"/>
              </w:rPr>
              <w:t xml:space="preserve">Wang P, He C, Yue M, Wang T, Bai L, Wu Y, Liu D, Wang M, Sun Y, Li Y, Zhang S, Liu H. The AT1 receptor autoantibody causes hypoglycemia in fetal rats via promoting the STT3A-GLUT1-glucose uptake axis in liver. Mol Cell Endocrinol.2020 Dec 1;518:111022.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14.</w:t>
            </w:r>
            <w:r>
              <w:rPr>
                <w:rFonts w:hint="eastAsia" w:ascii="仿宋" w:hAnsi="仿宋" w:eastAsia="仿宋" w:cs="仿宋"/>
                <w:i w:val="0"/>
                <w:iCs w:val="0"/>
                <w:caps w:val="0"/>
                <w:color w:val="auto"/>
                <w:spacing w:val="0"/>
                <w:sz w:val="18"/>
                <w:szCs w:val="18"/>
                <w:shd w:val="clear" w:color="auto" w:fill="FFFFFF"/>
              </w:rPr>
              <w:t>Sun Y, Li Y, Wang M, Yue M, Bai L, Bian J, Hao W, Sun J, Zhang S, Liu H. Increased AT2R expression is induced by AT1R autoantibody via two axes, Klf-5/IRF-1 and circErbB4/miR-29a-5p, to promote VSMC migration.Cell Death Dis.</w:t>
            </w:r>
            <w:r>
              <w:rPr>
                <w:rFonts w:hint="eastAsia" w:ascii="仿宋" w:hAnsi="仿宋" w:eastAsia="仿宋" w:cs="仿宋"/>
                <w:i w:val="0"/>
                <w:iCs w:val="0"/>
                <w:caps w:val="0"/>
                <w:color w:val="auto"/>
                <w:spacing w:val="0"/>
                <w:sz w:val="18"/>
                <w:szCs w:val="18"/>
                <w:shd w:val="clear" w:color="auto" w:fill="FFFFFF"/>
                <w:lang w:val="en-US" w:eastAsia="zh-CN"/>
              </w:rPr>
              <w:t xml:space="preserve"> </w:t>
            </w:r>
            <w:r>
              <w:rPr>
                <w:rFonts w:hint="eastAsia" w:ascii="仿宋" w:hAnsi="仿宋" w:eastAsia="仿宋" w:cs="仿宋"/>
                <w:i w:val="0"/>
                <w:iCs w:val="0"/>
                <w:caps w:val="0"/>
                <w:color w:val="auto"/>
                <w:spacing w:val="0"/>
                <w:sz w:val="18"/>
                <w:szCs w:val="18"/>
                <w:shd w:val="clear" w:color="auto" w:fill="FFFFFF"/>
              </w:rPr>
              <w:t>2020</w:t>
            </w:r>
            <w:r>
              <w:rPr>
                <w:rFonts w:hint="eastAsia" w:ascii="仿宋" w:hAnsi="仿宋" w:eastAsia="仿宋" w:cs="仿宋"/>
                <w:i w:val="0"/>
                <w:iCs w:val="0"/>
                <w:caps w:val="0"/>
                <w:color w:val="auto"/>
                <w:spacing w:val="0"/>
                <w:sz w:val="18"/>
                <w:szCs w:val="18"/>
                <w:shd w:val="clear" w:color="auto" w:fill="FFFFFF"/>
                <w:lang w:val="en-US" w:eastAsia="zh-CN"/>
              </w:rPr>
              <w:t xml:space="preserve"> </w:t>
            </w:r>
            <w:r>
              <w:rPr>
                <w:rFonts w:hint="eastAsia" w:ascii="仿宋" w:hAnsi="仿宋" w:eastAsia="仿宋" w:cs="仿宋"/>
                <w:i w:val="0"/>
                <w:iCs w:val="0"/>
                <w:caps w:val="0"/>
                <w:color w:val="auto"/>
                <w:spacing w:val="0"/>
                <w:sz w:val="18"/>
                <w:szCs w:val="18"/>
                <w:shd w:val="clear" w:color="auto" w:fill="FFFFFF"/>
              </w:rPr>
              <w:t xml:space="preserve">Jun 8;11(6):432.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15.</w:t>
            </w:r>
            <w:r>
              <w:rPr>
                <w:rFonts w:hint="eastAsia" w:ascii="仿宋" w:hAnsi="仿宋" w:eastAsia="仿宋" w:cs="仿宋"/>
                <w:i w:val="0"/>
                <w:iCs w:val="0"/>
                <w:caps w:val="0"/>
                <w:color w:val="auto"/>
                <w:spacing w:val="0"/>
                <w:sz w:val="18"/>
                <w:szCs w:val="18"/>
                <w:shd w:val="clear" w:color="auto" w:fill="FFFFFF"/>
              </w:rPr>
              <w:t xml:space="preserve">Wang M, Yin X, Zhang S, Mao C, Cao N, Yang X, Bian J, Hao W, Fan Q, Liu H. Autoantibodies against AT1 Receptor Contribute to Vascular Aging and Endothelial Cell Senescence. Aging Dis. 2019 Oct 1;10(5):1012-1025.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16.</w:t>
            </w:r>
            <w:r>
              <w:rPr>
                <w:rFonts w:hint="eastAsia" w:ascii="仿宋" w:hAnsi="仿宋" w:eastAsia="仿宋" w:cs="仿宋"/>
                <w:i w:val="0"/>
                <w:iCs w:val="0"/>
                <w:caps w:val="0"/>
                <w:color w:val="auto"/>
                <w:spacing w:val="0"/>
                <w:sz w:val="18"/>
                <w:szCs w:val="18"/>
                <w:shd w:val="clear" w:color="auto" w:fill="FFFFFF"/>
              </w:rPr>
              <w:t>Wang L, Ning N, Wang C, Hou X, Yuan Y, Ren Y, Sun C, Yan Z, Wang X, Liu H. Endoplasmic reticulum stress contributed to β1-adrenoceptor autoantibody-induced reduction of autophagy in cardiomyocytes. Acta Biochim Biophys Sin (Shanghai). 2019 Sep 6;51(10):1016-1025.</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17.</w:t>
            </w:r>
            <w:r>
              <w:rPr>
                <w:rFonts w:hint="eastAsia" w:ascii="仿宋" w:hAnsi="仿宋" w:eastAsia="仿宋" w:cs="仿宋"/>
                <w:i w:val="0"/>
                <w:iCs w:val="0"/>
                <w:caps w:val="0"/>
                <w:color w:val="auto"/>
                <w:spacing w:val="0"/>
                <w:sz w:val="18"/>
                <w:szCs w:val="18"/>
                <w:shd w:val="clear" w:color="auto" w:fill="FFFFFF"/>
              </w:rPr>
              <w:t xml:space="preserve">He C, Wang M, Yan Z, Zhang S, Liu H. Isolation and culture of vascular smooth muscle cells from rat placenta. J Cell Physiol. 2019 Jun;234(6):7675-7682.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highlight w:val="none"/>
                <w:shd w:val="clear" w:color="auto" w:fill="FFFFFF"/>
              </w:rPr>
            </w:pPr>
            <w:r>
              <w:rPr>
                <w:rFonts w:hint="eastAsia" w:ascii="仿宋" w:hAnsi="仿宋" w:eastAsia="仿宋" w:cs="仿宋"/>
                <w:i w:val="0"/>
                <w:iCs w:val="0"/>
                <w:caps w:val="0"/>
                <w:color w:val="auto"/>
                <w:spacing w:val="0"/>
                <w:sz w:val="18"/>
                <w:szCs w:val="18"/>
                <w:highlight w:val="none"/>
                <w:shd w:val="clear" w:color="auto" w:fill="FFFFFF"/>
                <w:lang w:val="en-US" w:eastAsia="zh-CN"/>
              </w:rPr>
              <w:t>18.</w:t>
            </w:r>
            <w:r>
              <w:rPr>
                <w:rFonts w:hint="eastAsia" w:ascii="仿宋" w:hAnsi="仿宋" w:eastAsia="仿宋" w:cs="仿宋"/>
                <w:i w:val="0"/>
                <w:iCs w:val="0"/>
                <w:caps w:val="0"/>
                <w:color w:val="auto"/>
                <w:spacing w:val="0"/>
                <w:sz w:val="18"/>
                <w:szCs w:val="18"/>
                <w:highlight w:val="none"/>
                <w:shd w:val="clear" w:color="auto" w:fill="FFFFFF"/>
              </w:rPr>
              <w:t xml:space="preserve">Wang Z, Wu Y, Zhang S, Zhao Y, Yin X, Wang W, Ma X, Liu H. The role of NO-cGMP pathway inhibition in vascular endothelial-dependent smooth muscle relaxation disorder of AT1-AA positive rats: protective effects of adiponectin. Nitric Oxide. 2019 Jun 1;87:10-22.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19.</w:t>
            </w:r>
            <w:r>
              <w:rPr>
                <w:rFonts w:hint="eastAsia" w:ascii="仿宋" w:hAnsi="仿宋" w:eastAsia="仿宋" w:cs="仿宋"/>
                <w:i w:val="0"/>
                <w:iCs w:val="0"/>
                <w:caps w:val="0"/>
                <w:color w:val="auto"/>
                <w:spacing w:val="0"/>
                <w:sz w:val="18"/>
                <w:szCs w:val="18"/>
                <w:shd w:val="clear" w:color="auto" w:fill="FFFFFF"/>
              </w:rPr>
              <w:t>Sun Y, Zhang S, Yue M, Li Y, Bi J, Liu H. Angiotensin II inhibits apoptosis of mouse aortic smooth muscle cells through regulating the circNRG-1/miR-193b-5p/NRG-1 axis. Cell Death Dis. 2019 May 1;10(5):362.</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20.</w:t>
            </w:r>
            <w:r>
              <w:rPr>
                <w:rFonts w:hint="eastAsia" w:ascii="仿宋" w:hAnsi="仿宋" w:eastAsia="仿宋" w:cs="仿宋"/>
                <w:i w:val="0"/>
                <w:iCs w:val="0"/>
                <w:caps w:val="0"/>
                <w:color w:val="auto"/>
                <w:spacing w:val="0"/>
                <w:sz w:val="18"/>
                <w:szCs w:val="18"/>
                <w:shd w:val="clear" w:color="auto" w:fill="FFFFFF"/>
              </w:rPr>
              <w:t xml:space="preserve">Du Y, Li X, Yu H, Yan L, Lau WB, Zhang S, Qin Y, Wang W, Ma X, Liu H, Fu M. Activation of T Lymphocytes as a Novel Mechanism in Beta1-Adrenergic Receptor Autoantibody-Induced Cardiac Remodeling. Cardiovasc Drugs Ther. 2019 Apr;33(2):149-161.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highlight w:val="none"/>
                <w:shd w:val="clear" w:color="auto" w:fill="FFFFFF"/>
              </w:rPr>
            </w:pPr>
            <w:r>
              <w:rPr>
                <w:rFonts w:hint="eastAsia" w:ascii="仿宋" w:hAnsi="仿宋" w:eastAsia="仿宋" w:cs="仿宋"/>
                <w:i w:val="0"/>
                <w:iCs w:val="0"/>
                <w:caps w:val="0"/>
                <w:color w:val="auto"/>
                <w:spacing w:val="0"/>
                <w:sz w:val="18"/>
                <w:szCs w:val="18"/>
                <w:highlight w:val="none"/>
                <w:shd w:val="clear" w:color="auto" w:fill="FFFFFF"/>
                <w:lang w:val="en-US" w:eastAsia="zh-CN"/>
              </w:rPr>
              <w:t xml:space="preserve">21 </w:t>
            </w:r>
            <w:r>
              <w:rPr>
                <w:rFonts w:hint="eastAsia" w:ascii="仿宋" w:hAnsi="仿宋" w:eastAsia="仿宋" w:cs="仿宋"/>
                <w:i w:val="0"/>
                <w:iCs w:val="0"/>
                <w:caps w:val="0"/>
                <w:color w:val="auto"/>
                <w:spacing w:val="0"/>
                <w:sz w:val="18"/>
                <w:szCs w:val="18"/>
                <w:highlight w:val="none"/>
                <w:shd w:val="clear" w:color="auto" w:fill="FFFFFF"/>
              </w:rPr>
              <w:t xml:space="preserve">Bian J, Lei J, Yin X, Wang P, Wu Y, Yang X, Wang L, Zhang S, Liu H, Fu MLX. Limited AT1 Receptor Internalization Is a Novel Mechanism Underlying Sustained Vasoconstriction Induced by AT1 Receptor Autoantibody From Preeclampsia. J Am Heart Assoc. 2019 Mar 19;8(6):e011179.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22.</w:t>
            </w:r>
            <w:r>
              <w:rPr>
                <w:rFonts w:hint="eastAsia" w:ascii="仿宋" w:hAnsi="仿宋" w:eastAsia="仿宋" w:cs="仿宋"/>
                <w:i w:val="0"/>
                <w:iCs w:val="0"/>
                <w:caps w:val="0"/>
                <w:color w:val="auto"/>
                <w:spacing w:val="0"/>
                <w:sz w:val="18"/>
                <w:szCs w:val="18"/>
                <w:shd w:val="clear" w:color="auto" w:fill="FFFFFF"/>
              </w:rPr>
              <w:t xml:space="preserve">Xu W, Wu Y, Wang L, Bai Y, Du Y, Li Y, Cao N, Zhao Y, Zhang Y, Liu H. Autoantibody against β1-adrenoceptor promotes the differentiation of natural regulatory T cells from activated CD4+ T cells by up-regulating AMPK-mediated fatty acid oxidation. Cell Death Dis. 2019 Feb 15;10(3):158.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23.</w:t>
            </w:r>
            <w:r>
              <w:rPr>
                <w:rFonts w:hint="eastAsia" w:ascii="仿宋" w:hAnsi="仿宋" w:eastAsia="仿宋" w:cs="仿宋"/>
                <w:i w:val="0"/>
                <w:iCs w:val="0"/>
                <w:caps w:val="0"/>
                <w:color w:val="auto"/>
                <w:spacing w:val="0"/>
                <w:sz w:val="18"/>
                <w:szCs w:val="18"/>
                <w:shd w:val="clear" w:color="auto" w:fill="FFFFFF"/>
              </w:rPr>
              <w:t xml:space="preserve">Yin X, Zhang S, Zhou Z, Bian J, Wu Y, Wang P, Gong Y, Bai L, Hao W, Ma X, Liu H. Active immunization using hand-push emulsification method increases the operator's risk of transcutaneous immunization. Biochem Biophys Res Commun. 2018 Dec 2;506(4):970-975.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24.</w:t>
            </w:r>
            <w:r>
              <w:rPr>
                <w:rFonts w:hint="eastAsia" w:ascii="仿宋" w:hAnsi="仿宋" w:eastAsia="仿宋" w:cs="仿宋"/>
                <w:i w:val="0"/>
                <w:iCs w:val="0"/>
                <w:caps w:val="0"/>
                <w:color w:val="auto"/>
                <w:spacing w:val="0"/>
                <w:sz w:val="18"/>
                <w:szCs w:val="18"/>
                <w:shd w:val="clear" w:color="auto" w:fill="FFFFFF"/>
              </w:rPr>
              <w:t>Zhang S, Wei M, Yue M, Wang P, Yin X, Wang L, Yang X, Liu H. Hyperinsulinemia precedes insulin resistance in offspring rats exposed to angiotensin II type 1 autoantibody in utero. Endocrine. 2018 Dec;62(3):588-601.</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25.</w:t>
            </w:r>
            <w:r>
              <w:rPr>
                <w:rFonts w:hint="eastAsia" w:ascii="仿宋" w:hAnsi="仿宋" w:eastAsia="仿宋" w:cs="仿宋"/>
                <w:i w:val="0"/>
                <w:iCs w:val="0"/>
                <w:caps w:val="0"/>
                <w:color w:val="auto"/>
                <w:spacing w:val="0"/>
                <w:sz w:val="18"/>
                <w:szCs w:val="18"/>
                <w:shd w:val="clear" w:color="auto" w:fill="FFFFFF"/>
              </w:rPr>
              <w:t xml:space="preserve">Cao N, Chen H, Bai Y, Yang X, Xu W, Hao W, Zhou Y, Chai J, Wu Y, Wang Z, Yin X, Wang L, Wang W, Liu H, Fu MLX. β2-adrenergic receptor autoantibodies alleviated myocardial damage induced by β1-adrenergic receptor autoantibodies in heart failure. Cardiovasc Res. 2018 Sep 1;114(11):1487-1498.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26.</w:t>
            </w:r>
            <w:r>
              <w:rPr>
                <w:rFonts w:hint="eastAsia" w:ascii="仿宋" w:hAnsi="仿宋" w:eastAsia="仿宋" w:cs="仿宋"/>
                <w:i w:val="0"/>
                <w:iCs w:val="0"/>
                <w:caps w:val="0"/>
                <w:color w:val="auto"/>
                <w:spacing w:val="0"/>
                <w:sz w:val="18"/>
                <w:szCs w:val="18"/>
                <w:shd w:val="clear" w:color="auto" w:fill="FFFFFF"/>
              </w:rPr>
              <w:t>Wang X, Zhao M, Wang X, Li S, Cao N, Liu H. The Application of Dynamic Models to the Exploration of </w:t>
            </w:r>
            <w:r>
              <w:rPr>
                <w:rFonts w:hint="eastAsia" w:ascii="仿宋" w:hAnsi="仿宋" w:eastAsia="仿宋" w:cs="仿宋"/>
                <w:i/>
                <w:iCs/>
                <w:caps w:val="0"/>
                <w:color w:val="auto"/>
                <w:spacing w:val="0"/>
                <w:sz w:val="18"/>
                <w:szCs w:val="18"/>
                <w:shd w:val="clear" w:color="auto" w:fill="FFFFFF"/>
              </w:rPr>
              <w:t>β</w:t>
            </w:r>
            <w:r>
              <w:rPr>
                <w:rFonts w:hint="eastAsia" w:ascii="仿宋" w:hAnsi="仿宋" w:eastAsia="仿宋" w:cs="仿宋"/>
                <w:i w:val="0"/>
                <w:iCs w:val="0"/>
                <w:caps w:val="0"/>
                <w:color w:val="auto"/>
                <w:spacing w:val="0"/>
                <w:sz w:val="18"/>
                <w:szCs w:val="18"/>
                <w:shd w:val="clear" w:color="auto" w:fill="FFFFFF"/>
              </w:rPr>
              <w:t xml:space="preserve">1-AR Overactivation as a Cause of Heart Failure. Comput Math Methods Med. 2018 Jul 30;2018:1613290. </w:t>
            </w:r>
          </w:p>
          <w:p>
            <w:pPr>
              <w:widowControl w:val="0"/>
              <w:numPr>
                <w:ilvl w:val="0"/>
                <w:numId w:val="0"/>
              </w:numPr>
              <w:wordWrap/>
              <w:adjustRightInd w:val="0"/>
              <w:snapToGrid w:val="0"/>
              <w:spacing w:line="200" w:lineRule="exact"/>
              <w:ind w:left="0" w:leftChars="0" w:right="0"/>
              <w:jc w:val="both"/>
              <w:textAlignment w:val="auto"/>
              <w:outlineLvl w:val="9"/>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27.</w:t>
            </w:r>
            <w:r>
              <w:rPr>
                <w:rFonts w:hint="eastAsia" w:ascii="仿宋" w:hAnsi="仿宋" w:eastAsia="仿宋" w:cs="仿宋"/>
                <w:i w:val="0"/>
                <w:iCs w:val="0"/>
                <w:caps w:val="0"/>
                <w:color w:val="auto"/>
                <w:spacing w:val="0"/>
                <w:sz w:val="18"/>
                <w:szCs w:val="18"/>
                <w:shd w:val="clear" w:color="auto" w:fill="FFFFFF"/>
              </w:rPr>
              <w:t xml:space="preserve">Wang P, Zhang S, Ren J, Yan L, Bai L, Wang </w:t>
            </w:r>
            <w:r>
              <w:rPr>
                <w:rFonts w:hint="eastAsia" w:ascii="仿宋" w:hAnsi="仿宋" w:eastAsia="仿宋" w:cs="仿宋"/>
                <w:i w:val="0"/>
                <w:iCs w:val="0"/>
                <w:caps w:val="0"/>
                <w:color w:val="auto"/>
                <w:spacing w:val="0"/>
                <w:sz w:val="18"/>
                <w:szCs w:val="18"/>
                <w:shd w:val="clear" w:color="auto" w:fill="FFFFFF"/>
                <w:lang w:val="en-US" w:eastAsia="zh-CN"/>
              </w:rPr>
              <w:t xml:space="preserve">  </w:t>
            </w:r>
          </w:p>
          <w:p>
            <w:pPr>
              <w:widowControl w:val="0"/>
              <w:numPr>
                <w:ilvl w:val="0"/>
                <w:numId w:val="0"/>
              </w:numPr>
              <w:wordWrap/>
              <w:adjustRightInd w:val="0"/>
              <w:snapToGrid w:val="0"/>
              <w:spacing w:line="200" w:lineRule="exact"/>
              <w:ind w:left="0" w:leftChars="0" w:right="0" w:firstLine="180" w:firstLine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rPr>
              <w:t xml:space="preserve">L, Wang P, Bian J, Yin X, Liu H. The </w:t>
            </w:r>
          </w:p>
          <w:p>
            <w:pPr>
              <w:widowControl w:val="0"/>
              <w:numPr>
                <w:ilvl w:val="0"/>
                <w:numId w:val="0"/>
              </w:numPr>
              <w:wordWrap/>
              <w:adjustRightInd w:val="0"/>
              <w:snapToGrid w:val="0"/>
              <w:spacing w:line="200" w:lineRule="exact"/>
              <w:ind w:left="0" w:leftChars="0" w:right="0" w:firstLine="180" w:firstLineChars="100"/>
              <w:jc w:val="both"/>
              <w:textAlignment w:val="auto"/>
              <w:outlineLvl w:val="9"/>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rPr>
              <w:t>i</w:t>
            </w:r>
            <w:r>
              <w:rPr>
                <w:rFonts w:hint="eastAsia" w:ascii="仿宋" w:hAnsi="仿宋" w:eastAsia="仿宋" w:cs="仿宋"/>
                <w:i w:val="0"/>
                <w:iCs w:val="0"/>
                <w:caps w:val="0"/>
                <w:color w:val="auto"/>
                <w:spacing w:val="0"/>
                <w:sz w:val="18"/>
                <w:szCs w:val="18"/>
                <w:shd w:val="clear" w:color="auto" w:fill="FFFFFF"/>
                <w:lang w:val="en-US" w:eastAsia="zh-CN"/>
              </w:rPr>
              <w:t xml:space="preserve"> </w:t>
            </w:r>
            <w:r>
              <w:rPr>
                <w:rFonts w:hint="eastAsia" w:ascii="仿宋" w:hAnsi="仿宋" w:eastAsia="仿宋" w:cs="仿宋"/>
                <w:i w:val="0"/>
                <w:iCs w:val="0"/>
                <w:caps w:val="0"/>
                <w:color w:val="auto"/>
                <w:spacing w:val="0"/>
                <w:sz w:val="18"/>
                <w:szCs w:val="18"/>
                <w:shd w:val="clear" w:color="auto" w:fill="FFFFFF"/>
              </w:rPr>
              <w:t xml:space="preserve">nhibitory effect of BKCa channels induced </w:t>
            </w:r>
            <w:r>
              <w:rPr>
                <w:rFonts w:hint="eastAsia" w:ascii="仿宋" w:hAnsi="仿宋" w:eastAsia="仿宋" w:cs="仿宋"/>
                <w:i w:val="0"/>
                <w:iCs w:val="0"/>
                <w:caps w:val="0"/>
                <w:color w:val="auto"/>
                <w:spacing w:val="0"/>
                <w:sz w:val="18"/>
                <w:szCs w:val="18"/>
                <w:shd w:val="clear" w:color="auto" w:fill="FFFFFF"/>
                <w:lang w:val="en-US" w:eastAsia="zh-CN"/>
              </w:rPr>
              <w:t xml:space="preserve">  </w:t>
            </w:r>
          </w:p>
          <w:p>
            <w:pPr>
              <w:widowControl w:val="0"/>
              <w:numPr>
                <w:ilvl w:val="0"/>
                <w:numId w:val="0"/>
              </w:numPr>
              <w:wordWrap/>
              <w:adjustRightInd w:val="0"/>
              <w:snapToGrid w:val="0"/>
              <w:spacing w:line="200" w:lineRule="exact"/>
              <w:ind w:left="178" w:leftChars="85" w:right="0" w:firstLine="0" w:firstLineChars="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rPr>
              <w:t xml:space="preserve">by autoantibodies against angiotensin II type 1 receptor is independent of AT1R. Acta Biochim Biophys Sin (Shanghai). 2018 Jun 1;50(6):560-566.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28.</w:t>
            </w:r>
            <w:r>
              <w:rPr>
                <w:rFonts w:hint="eastAsia" w:ascii="仿宋" w:hAnsi="仿宋" w:eastAsia="仿宋" w:cs="仿宋"/>
                <w:i w:val="0"/>
                <w:iCs w:val="0"/>
                <w:caps w:val="0"/>
                <w:color w:val="auto"/>
                <w:spacing w:val="0"/>
                <w:sz w:val="18"/>
                <w:szCs w:val="18"/>
                <w:shd w:val="clear" w:color="auto" w:fill="FFFFFF"/>
              </w:rPr>
              <w:t xml:space="preserve">Bian J, Zhang S, Yi M, Yue M, Liu H. The mechanisms behind decreased internalization of angiotensin II type 1 receptor. Vascul Pharmacol. 2018 Apr;103-105:1-7.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29.</w:t>
            </w:r>
            <w:r>
              <w:rPr>
                <w:rFonts w:hint="eastAsia" w:ascii="仿宋" w:hAnsi="仿宋" w:eastAsia="仿宋" w:cs="仿宋"/>
                <w:i w:val="0"/>
                <w:iCs w:val="0"/>
                <w:caps w:val="0"/>
                <w:color w:val="auto"/>
                <w:spacing w:val="0"/>
                <w:sz w:val="18"/>
                <w:szCs w:val="18"/>
                <w:shd w:val="clear" w:color="auto" w:fill="FFFFFF"/>
              </w:rPr>
              <w:t>Li Wang, Yang Li, Na Ning, Jin Wang, Zi Yan, Suli Zhang, Xiangying Jiao, Xiaohui Wang, Huirong Liu*. Decreased autophagy induced by β1-adrenoceptor autoantibodies contributes to cardiomyocyte apoptosis. Cell Death &amp; Disease.  2018 Mar 14;9(3):406.</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30.</w:t>
            </w:r>
            <w:r>
              <w:rPr>
                <w:rFonts w:hint="eastAsia" w:ascii="仿宋" w:hAnsi="仿宋" w:eastAsia="仿宋" w:cs="仿宋"/>
                <w:i w:val="0"/>
                <w:iCs w:val="0"/>
                <w:caps w:val="0"/>
                <w:color w:val="auto"/>
                <w:spacing w:val="0"/>
                <w:sz w:val="18"/>
                <w:szCs w:val="18"/>
                <w:shd w:val="clear" w:color="auto" w:fill="FFFFFF"/>
              </w:rPr>
              <w:t xml:space="preserve">Lei J, Zhang S, Wang P, Liao Y, Bian J, Yin X, Wu Y, Bai L, Wang F, Yang X, Liu H. Long-term presence of angiotensin II type 1 receptor autoantibody reduces aldosterone production by triggering Ca2+overload in H295R cells. Immunol Res. 2018 Feb;66(1):44-51.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31.</w:t>
            </w:r>
            <w:r>
              <w:rPr>
                <w:rFonts w:hint="eastAsia" w:ascii="仿宋" w:hAnsi="仿宋" w:eastAsia="仿宋" w:cs="仿宋"/>
                <w:i w:val="0"/>
                <w:iCs w:val="0"/>
                <w:caps w:val="0"/>
                <w:color w:val="auto"/>
                <w:spacing w:val="0"/>
                <w:sz w:val="18"/>
                <w:szCs w:val="18"/>
                <w:shd w:val="clear" w:color="auto" w:fill="FFFFFF"/>
              </w:rPr>
              <w:t xml:space="preserve">Wang F, Guo RX, Li WX, Yu BF, Han B, Liu LX, Han DW. The role of intestinal endotoxemia in a rat model of aluminum neurotoxicity. Mol Med Rep. 2017 Aug;16(2):1878-1884.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32.</w:t>
            </w:r>
            <w:r>
              <w:rPr>
                <w:rFonts w:hint="eastAsia" w:ascii="仿宋" w:hAnsi="仿宋" w:eastAsia="仿宋" w:cs="仿宋"/>
                <w:i w:val="0"/>
                <w:iCs w:val="0"/>
                <w:caps w:val="0"/>
                <w:color w:val="auto"/>
                <w:spacing w:val="0"/>
                <w:sz w:val="18"/>
                <w:szCs w:val="18"/>
                <w:shd w:val="clear" w:color="auto" w:fill="FFFFFF"/>
              </w:rPr>
              <w:t xml:space="preserve">Li Y, Tian J, Ma XR, Li RT, Zhang SL, Wang PL, Yin XC, Bian JW, Lei JH, Liu HR. Increase in G protein-coupled receptor autoantibodies with decline of cardiac function in hypercholesterolemic rats. Eur Rev Med Pharmacol Sci. 2017 Mar;21(5):1065-1073.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33.</w:t>
            </w:r>
            <w:r>
              <w:rPr>
                <w:rFonts w:hint="eastAsia" w:ascii="仿宋" w:hAnsi="仿宋" w:eastAsia="仿宋" w:cs="仿宋"/>
                <w:i w:val="0"/>
                <w:iCs w:val="0"/>
                <w:caps w:val="0"/>
                <w:color w:val="auto"/>
                <w:spacing w:val="0"/>
                <w:sz w:val="18"/>
                <w:szCs w:val="18"/>
                <w:shd w:val="clear" w:color="auto" w:fill="FFFFFF"/>
              </w:rPr>
              <w:t>Zhao YH, Huang HX, Liu P, Du YH, Wang P, Wang W, Wu Y, Wang L, Ma CS, Liu HR. β1-Adrenoceptor autoantibodies increase the susceptibility to ventricular arrhythmias involving abnormal repolarization in guinea-pigs. Exp Physiol. 2017 Jan 1;102(1):25-33.</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34.</w:t>
            </w:r>
            <w:r>
              <w:rPr>
                <w:rFonts w:hint="eastAsia" w:ascii="仿宋" w:hAnsi="仿宋" w:eastAsia="仿宋" w:cs="仿宋"/>
                <w:i w:val="0"/>
                <w:iCs w:val="0"/>
                <w:caps w:val="0"/>
                <w:color w:val="auto"/>
                <w:spacing w:val="0"/>
                <w:sz w:val="18"/>
                <w:szCs w:val="18"/>
                <w:shd w:val="clear" w:color="auto" w:fill="FFFFFF"/>
              </w:rPr>
              <w:t xml:space="preserve">Lei J, Peng S, Samuel SB, Zhang S, Wu Y, Wang P, Li YF, Liu H. A simple and biosafe method for isolation of human umbilical vein endothelial cells. Anal Biochem. 2016 Sep 1;508:15-8.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35.</w:t>
            </w:r>
            <w:r>
              <w:rPr>
                <w:rFonts w:hint="eastAsia" w:ascii="仿宋" w:hAnsi="仿宋" w:eastAsia="仿宋" w:cs="仿宋"/>
                <w:i w:val="0"/>
                <w:iCs w:val="0"/>
                <w:caps w:val="0"/>
                <w:color w:val="auto"/>
                <w:spacing w:val="0"/>
                <w:sz w:val="18"/>
                <w:szCs w:val="18"/>
                <w:shd w:val="clear" w:color="auto" w:fill="FFFFFF"/>
              </w:rPr>
              <w:t xml:space="preserve">Lv T, Du Y, Cao N, Zhang S, Gong Y, Bai Y, Wang W, Liu H. Proliferation in cardiac fibroblasts induced by β1-adrenoceptor autoantibody and the underlying mechanisms. Sci Rep. 2016 Aug 31;6:32430.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36.</w:t>
            </w:r>
            <w:r>
              <w:rPr>
                <w:rFonts w:hint="eastAsia" w:ascii="仿宋" w:hAnsi="仿宋" w:eastAsia="仿宋" w:cs="仿宋"/>
                <w:i w:val="0"/>
                <w:iCs w:val="0"/>
                <w:caps w:val="0"/>
                <w:color w:val="auto"/>
                <w:spacing w:val="0"/>
                <w:sz w:val="18"/>
                <w:szCs w:val="18"/>
                <w:shd w:val="clear" w:color="auto" w:fill="FFFFFF"/>
              </w:rPr>
              <w:t xml:space="preserve">Gong Y, Xiong H, Du Y, Wu Y, Zhang S, Li X, Liu H. Autoantibodies against β1-adrenoceptor induce blood glucose enhancement and insulin insufficient via T lymphocytes. Immunol Res. 2016 Apr;64(2):584-93.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37.</w:t>
            </w:r>
            <w:r>
              <w:rPr>
                <w:rFonts w:hint="eastAsia" w:ascii="仿宋" w:hAnsi="仿宋" w:eastAsia="仿宋" w:cs="仿宋"/>
                <w:i w:val="0"/>
                <w:iCs w:val="0"/>
                <w:caps w:val="0"/>
                <w:color w:val="auto"/>
                <w:spacing w:val="0"/>
                <w:sz w:val="18"/>
                <w:szCs w:val="18"/>
                <w:shd w:val="clear" w:color="auto" w:fill="FFFFFF"/>
              </w:rPr>
              <w:t xml:space="preserve">Lei J, Li Y, Zhang S, Wu Y, Wang P, Liu H. The Prognostic Role of Angiotensin II Type 1 Receptor Autoantibody in Non-Gravid Hypertension and Pre-eclampsia: A Meta-analysis and Our Studies. Medicine (Baltimore). 2016 Apr;95(17):e3494.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38.</w:t>
            </w:r>
            <w:r>
              <w:rPr>
                <w:rFonts w:hint="eastAsia" w:ascii="仿宋" w:hAnsi="仿宋" w:eastAsia="仿宋" w:cs="仿宋"/>
                <w:i w:val="0"/>
                <w:iCs w:val="0"/>
                <w:caps w:val="0"/>
                <w:color w:val="auto"/>
                <w:spacing w:val="0"/>
                <w:sz w:val="18"/>
                <w:szCs w:val="18"/>
                <w:shd w:val="clear" w:color="auto" w:fill="FFFFFF"/>
              </w:rPr>
              <w:t xml:space="preserve">Wei M, Zhao C, Zhang S, Wang L, Liu H, Ma X. Preparation and Biological Activity of the Monoclonal Antibody against the Second Extracellular Loop of the Angiotensin II Type 1 Receptor. J Immunol Res. 2016;2016:1858252.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39.</w:t>
            </w:r>
            <w:r>
              <w:rPr>
                <w:rFonts w:hint="eastAsia" w:ascii="仿宋" w:hAnsi="仿宋" w:eastAsia="仿宋" w:cs="仿宋"/>
                <w:i w:val="0"/>
                <w:iCs w:val="0"/>
                <w:caps w:val="0"/>
                <w:color w:val="auto"/>
                <w:spacing w:val="0"/>
                <w:sz w:val="18"/>
                <w:szCs w:val="18"/>
                <w:shd w:val="clear" w:color="auto" w:fill="FFFFFF"/>
              </w:rPr>
              <w:t xml:space="preserve">Zuo L, Du Y, Ma J, Wang K, Zhao Y, Bai F, Wu B, Ma X, Liu H. Pro-arrhythmic action of autoantibodies against the second extracellular loop of β1-adrenoceptor and its underlying molecular mechanisms. Int J Cardiol. 2015 Nov 1;198:251-8.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40.</w:t>
            </w:r>
            <w:r>
              <w:rPr>
                <w:rFonts w:hint="eastAsia" w:ascii="仿宋" w:hAnsi="仿宋" w:eastAsia="仿宋" w:cs="仿宋"/>
                <w:i w:val="0"/>
                <w:iCs w:val="0"/>
                <w:caps w:val="0"/>
                <w:color w:val="auto"/>
                <w:spacing w:val="0"/>
                <w:sz w:val="18"/>
                <w:szCs w:val="18"/>
                <w:shd w:val="clear" w:color="auto" w:fill="FFFFFF"/>
              </w:rPr>
              <w:t xml:space="preserve">Wang L, Hao H, Wang J, Wang X, Zhang S, Du Y, Lv T, Zuo L, Li Y, Liu H. Decreased autophagy: a major factor for cardiomyocyte death induced by β1-adrenoceptor autoantibodies. Cell Death Dis. 2015 Aug 27;6(8):e1862.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41.</w:t>
            </w:r>
            <w:r>
              <w:rPr>
                <w:rFonts w:hint="eastAsia" w:ascii="仿宋" w:hAnsi="仿宋" w:eastAsia="仿宋" w:cs="仿宋"/>
                <w:i w:val="0"/>
                <w:iCs w:val="0"/>
                <w:caps w:val="0"/>
                <w:color w:val="auto"/>
                <w:spacing w:val="0"/>
                <w:sz w:val="18"/>
                <w:szCs w:val="18"/>
                <w:shd w:val="clear" w:color="auto" w:fill="FFFFFF"/>
              </w:rPr>
              <w:t xml:space="preserve">Yang J, Li L, Shang JY, Cai L, Song L, Zhang SL, Li H, Li X, Lau WB, Ma XL, Liu HR. Angiotensin II type 1 receptor autoantibody as a novel regulator of aldosterone independent of preeclampsia. J Hypertens. 2015 May;33(5):1046-56.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i w:val="0"/>
                <w:iCs w:val="0"/>
                <w:caps w:val="0"/>
                <w:color w:val="auto"/>
                <w:spacing w:val="0"/>
                <w:sz w:val="18"/>
                <w:szCs w:val="18"/>
                <w:shd w:val="clear" w:color="auto" w:fill="FFFFFF"/>
                <w:lang w:val="en-US" w:eastAsia="zh-CN"/>
              </w:rPr>
              <w:t>42.</w:t>
            </w:r>
            <w:r>
              <w:rPr>
                <w:rFonts w:hint="eastAsia" w:ascii="仿宋" w:hAnsi="仿宋" w:eastAsia="仿宋" w:cs="仿宋"/>
                <w:i w:val="0"/>
                <w:iCs w:val="0"/>
                <w:caps w:val="0"/>
                <w:color w:val="auto"/>
                <w:spacing w:val="0"/>
                <w:sz w:val="18"/>
                <w:szCs w:val="18"/>
                <w:shd w:val="clear" w:color="auto" w:fill="FFFFFF"/>
              </w:rPr>
              <w:t xml:space="preserve">Zhao Y, Huang H, Du Y, Li X, Lv T, Zhang S, Wei H, Shang J, Liu P, Liu H. β1-Adrenoceptor autoantibodies affect action potential duration and delayed rectifier potassium currents in guinea pigs. Cardiovasc Toxicol. 2015 Jan;15(1):1-9. </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43.</w:t>
            </w:r>
            <w:r>
              <w:rPr>
                <w:rFonts w:hint="eastAsia" w:ascii="仿宋" w:hAnsi="仿宋" w:eastAsia="仿宋" w:cs="仿宋"/>
                <w:color w:val="auto"/>
                <w:sz w:val="18"/>
                <w:szCs w:val="18"/>
              </w:rPr>
              <w:t>郭婷,杨晓丽,田珏,杨贵芳,刘芳,李雪敏.妊娠期高血压病病人RDW-CV、NLR、MLR、PLR与血栓弹力图的相关性分析[J].护理研究,2022,36(22):3963-3967.</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44.</w:t>
            </w:r>
            <w:r>
              <w:rPr>
                <w:rFonts w:hint="eastAsia" w:ascii="仿宋" w:hAnsi="仿宋" w:eastAsia="仿宋" w:cs="仿宋"/>
                <w:color w:val="auto"/>
                <w:sz w:val="18"/>
                <w:szCs w:val="18"/>
              </w:rPr>
              <w:t>陶彦,武烨,张苏丽,</w:t>
            </w:r>
            <w:r>
              <w:rPr>
                <w:rFonts w:hint="eastAsia" w:ascii="仿宋" w:hAnsi="仿宋" w:eastAsia="仿宋" w:cs="仿宋"/>
                <w:color w:val="auto"/>
                <w:sz w:val="18"/>
                <w:szCs w:val="18"/>
                <w:lang w:val="en-US" w:eastAsia="zh-CN"/>
              </w:rPr>
              <w:t>王鹏丽,毕竞,贺春雨,刘慧荣</w:t>
            </w:r>
            <w:r>
              <w:rPr>
                <w:rFonts w:hint="eastAsia" w:ascii="仿宋" w:hAnsi="仿宋" w:eastAsia="仿宋" w:cs="仿宋"/>
                <w:color w:val="auto"/>
                <w:sz w:val="18"/>
                <w:szCs w:val="18"/>
              </w:rPr>
              <w:t>.血管紧张素Ⅱ-1型受体自身抗体生命早期暴露对子代大鼠脂代谢的影响[J].中华围产医学杂志,2022,25(03)：192-200.</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45.</w:t>
            </w:r>
            <w:r>
              <w:rPr>
                <w:rFonts w:hint="eastAsia" w:ascii="仿宋" w:hAnsi="仿宋" w:eastAsia="仿宋" w:cs="仿宋"/>
                <w:color w:val="auto"/>
                <w:sz w:val="18"/>
                <w:szCs w:val="18"/>
              </w:rPr>
              <w:t>杨晓丽,杨贵芳,李淑珍,程鑫,郭晶晶,张烁.内分泌疾病与女性不孕不育症的关系研究[J].中国妇幼保健,2019,34(02):387-389.</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46.</w:t>
            </w:r>
            <w:r>
              <w:rPr>
                <w:rFonts w:hint="eastAsia" w:ascii="仿宋" w:hAnsi="仿宋" w:eastAsia="仿宋" w:cs="仿宋"/>
                <w:color w:val="auto"/>
                <w:sz w:val="18"/>
                <w:szCs w:val="18"/>
              </w:rPr>
              <w:t>杨晓丽,秦小伟,王云燕,张慧芳,程鑫,张烁.促性腺激素释放激素激动剂长、短方案对高龄患者体外受精-胚胎移植的影响研究[J].生殖医学杂志,2019,28(04):416-419.</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47.彭超男,张晓敏,杨贵芳,王云燕,杨晓丽,李淑珍.不同促甲状腺激素水平对不孕症患者行体外受精/卵泡浆内单精子注射-胚胎移植结局的影响[J].实用医学杂志,2019,35(24):3769-3772+3777.</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i w:val="0"/>
                <w:iCs w:val="0"/>
                <w:caps w:val="0"/>
                <w:color w:val="auto"/>
                <w:spacing w:val="0"/>
                <w:sz w:val="18"/>
                <w:szCs w:val="18"/>
                <w:shd w:val="clear" w:color="auto" w:fill="FFFFFF"/>
              </w:rPr>
            </w:pPr>
            <w:r>
              <w:rPr>
                <w:rFonts w:hint="eastAsia" w:ascii="仿宋" w:hAnsi="仿宋" w:eastAsia="仿宋" w:cs="仿宋"/>
                <w:color w:val="auto"/>
                <w:sz w:val="18"/>
                <w:szCs w:val="18"/>
                <w:lang w:val="en-US" w:eastAsia="zh-CN"/>
              </w:rPr>
              <w:t>48.王鹏丽，廖扬，雷敬辉，武烨，张苏丽*，刘慧荣.低浓度血管紧张素II 1型受体自身抗体抑制人肾上腺皮质肿瘤细胞系醛固酮分泌. 中国科技论文在线. 2016.12；9（23）.</w:t>
            </w:r>
          </w:p>
          <w:p>
            <w:pPr>
              <w:widowControl w:val="0"/>
              <w:numPr>
                <w:ilvl w:val="0"/>
                <w:numId w:val="0"/>
              </w:numPr>
              <w:wordWrap/>
              <w:adjustRightInd w:val="0"/>
              <w:snapToGrid w:val="0"/>
              <w:spacing w:line="200" w:lineRule="exact"/>
              <w:ind w:left="180" w:leftChars="0" w:right="0" w:hanging="180" w:hangingChars="100"/>
              <w:jc w:val="both"/>
              <w:textAlignment w:val="auto"/>
              <w:outlineLvl w:val="9"/>
              <w:rPr>
                <w:rFonts w:hint="eastAsia" w:ascii="仿宋" w:hAnsi="仿宋" w:eastAsia="仿宋" w:cs="仿宋"/>
                <w:b/>
                <w:bCs/>
                <w:sz w:val="18"/>
                <w:szCs w:val="18"/>
              </w:rPr>
            </w:pPr>
            <w:r>
              <w:rPr>
                <w:rFonts w:hint="eastAsia" w:ascii="仿宋" w:hAnsi="仿宋" w:eastAsia="仿宋" w:cs="仿宋"/>
                <w:color w:val="auto"/>
                <w:sz w:val="18"/>
                <w:szCs w:val="18"/>
                <w:lang w:val="en-US" w:eastAsia="zh-CN"/>
              </w:rPr>
              <w:t>49.任杰，张烁，义建伟，张轩萍，王泽波，杨晓丽.子痫前期患者血清中血管紧张素II-1型受体自身抗体检测及其免疫学特征分析.文摘版：医药卫生, 2015.02, 2：95-104.</w:t>
            </w:r>
          </w:p>
        </w:tc>
        <w:tc>
          <w:tcPr>
            <w:tcW w:w="769" w:type="dxa"/>
            <w:vAlign w:val="center"/>
          </w:tcPr>
          <w:p>
            <w:pPr>
              <w:pStyle w:val="11"/>
              <w:widowControl w:val="0"/>
              <w:wordWrap/>
              <w:adjustRightInd/>
              <w:snapToGrid/>
              <w:spacing w:line="260" w:lineRule="exact"/>
              <w:ind w:left="-31" w:leftChars="-15" w:right="-31" w:rightChars="-15"/>
              <w:jc w:val="left"/>
              <w:textAlignment w:val="auto"/>
              <w:rPr>
                <w:rFonts w:hint="eastAsia" w:ascii="仿宋" w:hAnsi="仿宋" w:eastAsia="仿宋" w:cs="仿宋"/>
                <w:color w:val="auto"/>
                <w:sz w:val="18"/>
                <w:szCs w:val="18"/>
                <w:lang w:val="en-US" w:eastAsia="zh-CN"/>
              </w:rPr>
            </w:pPr>
            <w:r>
              <w:rPr>
                <w:rFonts w:hint="eastAsia" w:cs="仿宋"/>
                <w:color w:val="auto"/>
                <w:sz w:val="18"/>
                <w:szCs w:val="18"/>
                <w:lang w:val="en-US" w:eastAsia="zh-CN"/>
              </w:rPr>
              <w:t>1.</w:t>
            </w:r>
            <w:r>
              <w:rPr>
                <w:rFonts w:hint="eastAsia" w:ascii="仿宋" w:hAnsi="仿宋" w:eastAsia="仿宋" w:cs="仿宋"/>
                <w:color w:val="auto"/>
                <w:sz w:val="18"/>
                <w:szCs w:val="18"/>
                <w:lang w:val="en-US" w:eastAsia="zh-CN"/>
              </w:rPr>
              <w:t>太原市中心医院</w:t>
            </w:r>
          </w:p>
          <w:p>
            <w:pPr>
              <w:pStyle w:val="11"/>
              <w:widowControl w:val="0"/>
              <w:wordWrap/>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p>
          <w:p>
            <w:pPr>
              <w:pStyle w:val="11"/>
              <w:widowControl w:val="0"/>
              <w:wordWrap/>
              <w:adjustRightInd/>
              <w:snapToGrid/>
              <w:spacing w:line="260" w:lineRule="exact"/>
              <w:ind w:left="-31" w:leftChars="-15" w:right="-31" w:rightChars="-15"/>
              <w:jc w:val="left"/>
              <w:textAlignment w:val="auto"/>
              <w:rPr>
                <w:rFonts w:hint="eastAsia" w:ascii="仿宋" w:hAnsi="仿宋" w:eastAsia="仿宋" w:cs="仿宋"/>
                <w:sz w:val="18"/>
                <w:szCs w:val="18"/>
                <w:lang w:val="en-US"/>
              </w:rPr>
            </w:pPr>
            <w:r>
              <w:rPr>
                <w:rFonts w:hint="eastAsia" w:cs="仿宋"/>
                <w:color w:val="auto"/>
                <w:sz w:val="18"/>
                <w:szCs w:val="18"/>
                <w:lang w:val="en-US" w:eastAsia="zh-CN"/>
              </w:rPr>
              <w:t>2.</w:t>
            </w:r>
            <w:r>
              <w:rPr>
                <w:rFonts w:hint="eastAsia" w:ascii="仿宋" w:hAnsi="仿宋" w:eastAsia="仿宋" w:cs="仿宋"/>
                <w:color w:val="auto"/>
                <w:sz w:val="18"/>
                <w:szCs w:val="18"/>
                <w:lang w:val="en-US" w:eastAsia="zh-CN"/>
              </w:rPr>
              <w:t>首都医科大学</w:t>
            </w:r>
          </w:p>
        </w:tc>
        <w:tc>
          <w:tcPr>
            <w:tcW w:w="843" w:type="dxa"/>
            <w:vAlign w:val="center"/>
          </w:tcPr>
          <w:p>
            <w:pPr>
              <w:pStyle w:val="11"/>
              <w:widowControl w:val="0"/>
              <w:wordWrap/>
              <w:adjustRightInd/>
              <w:snapToGrid/>
              <w:spacing w:line="260" w:lineRule="exact"/>
              <w:ind w:left="-31" w:leftChars="-15" w:right="-31" w:rightChars="-15"/>
              <w:jc w:val="left"/>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杨晓丽、张苏丽、杨贵芳、王  锋、</w:t>
            </w:r>
          </w:p>
          <w:p>
            <w:pPr>
              <w:pStyle w:val="11"/>
              <w:widowControl w:val="0"/>
              <w:wordWrap/>
              <w:adjustRightInd/>
              <w:snapToGrid/>
              <w:spacing w:line="260" w:lineRule="exact"/>
              <w:ind w:left="-31" w:leftChars="-15" w:right="-31" w:rightChars="-15"/>
              <w:jc w:val="left"/>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刘慧荣、任  杰、</w:t>
            </w:r>
          </w:p>
          <w:p>
            <w:pPr>
              <w:pStyle w:val="11"/>
              <w:widowControl w:val="0"/>
              <w:wordWrap/>
              <w:adjustRightInd/>
              <w:snapToGrid/>
              <w:spacing w:line="260" w:lineRule="exact"/>
              <w:ind w:left="-31" w:leftChars="-15" w:right="-31" w:rightChars="-15"/>
              <w:jc w:val="left"/>
              <w:textAlignment w:val="auto"/>
              <w:rPr>
                <w:rFonts w:hint="eastAsia" w:ascii="仿宋" w:hAnsi="仿宋" w:eastAsia="仿宋" w:cs="仿宋"/>
                <w:sz w:val="18"/>
                <w:szCs w:val="18"/>
                <w:lang w:val="en-US"/>
              </w:rPr>
            </w:pPr>
            <w:r>
              <w:rPr>
                <w:rFonts w:hint="eastAsia" w:ascii="仿宋" w:hAnsi="仿宋" w:eastAsia="仿宋" w:cs="仿宋"/>
                <w:color w:val="auto"/>
                <w:sz w:val="18"/>
                <w:szCs w:val="18"/>
                <w:lang w:val="en-US" w:eastAsia="zh-CN"/>
              </w:rPr>
              <w:t>郭瑞霞、张慧芳、王丽娟、李雪敏</w:t>
            </w:r>
          </w:p>
        </w:tc>
        <w:tc>
          <w:tcPr>
            <w:tcW w:w="515" w:type="dxa"/>
            <w:vAlign w:val="center"/>
          </w:tcPr>
          <w:p>
            <w:pPr>
              <w:pStyle w:val="11"/>
              <w:widowControl w:val="0"/>
              <w:wordWrap/>
              <w:adjustRightInd/>
              <w:snapToGrid/>
              <w:spacing w:line="260" w:lineRule="exact"/>
              <w:ind w:left="-31" w:leftChars="-15" w:right="-31" w:rightChars="-15"/>
              <w:jc w:val="both"/>
              <w:textAlignment w:val="auto"/>
              <w:rPr>
                <w:rFonts w:hint="eastAsia" w:ascii="仿宋" w:hAnsi="仿宋" w:eastAsia="仿宋" w:cs="仿宋"/>
                <w:sz w:val="18"/>
                <w:szCs w:val="18"/>
              </w:rPr>
            </w:pPr>
            <w:r>
              <w:rPr>
                <w:rFonts w:hint="eastAsia" w:ascii="仿宋" w:hAnsi="仿宋" w:eastAsia="仿宋" w:cs="仿宋"/>
                <w:color w:val="auto"/>
                <w:sz w:val="18"/>
                <w:szCs w:val="18"/>
                <w:lang w:eastAsia="zh-CN"/>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5"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901" w:type="dxa"/>
            <w:vAlign w:val="center"/>
          </w:tcPr>
          <w:p>
            <w:pPr>
              <w:pStyle w:val="11"/>
              <w:spacing w:line="260" w:lineRule="exact"/>
              <w:ind w:left="-31" w:leftChars="-15" w:right="-31" w:rightChars="-15"/>
              <w:rPr>
                <w:rFonts w:hint="eastAsia" w:ascii="仿宋" w:hAnsi="仿宋" w:eastAsia="仿宋" w:cs="仿宋"/>
                <w:color w:val="auto"/>
                <w:sz w:val="18"/>
                <w:szCs w:val="18"/>
                <w:lang w:eastAsia="zh-CN"/>
              </w:rPr>
            </w:pPr>
            <w:r>
              <w:rPr>
                <w:rFonts w:hint="eastAsia" w:ascii="仿宋" w:hAnsi="仿宋" w:eastAsia="仿宋" w:cs="仿宋"/>
                <w:color w:val="000000"/>
                <w:sz w:val="18"/>
                <w:szCs w:val="18"/>
                <w:lang w:val="en-US"/>
              </w:rPr>
              <w:t>皮肤间充质干细胞来源的EDIL3在银屑病患者血管形成中的作用机制</w:t>
            </w:r>
          </w:p>
        </w:tc>
        <w:tc>
          <w:tcPr>
            <w:tcW w:w="2809"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color w:val="000000"/>
                <w:sz w:val="18"/>
                <w:szCs w:val="18"/>
                <w:lang w:val="en-US"/>
              </w:rPr>
              <w:t>银屑病（psoriasis）是一种慢性复发性炎症性皮肤病，其基本损害为红色丘疹或斑块，上覆多层银白色鳞屑，其具体发病机制目前尚不清楚，但主要与遗传背景、感染、免疫紊乱、内分泌异常以及精神因素有关。</w:t>
            </w:r>
            <w:r>
              <w:rPr>
                <w:rFonts w:hint="eastAsia" w:ascii="仿宋" w:hAnsi="仿宋" w:eastAsia="仿宋" w:cs="仿宋"/>
                <w:color w:val="000000"/>
                <w:sz w:val="18"/>
                <w:szCs w:val="18"/>
                <w:lang w:val="en-US" w:eastAsia="zh-CN"/>
              </w:rPr>
              <w:t>该项目</w:t>
            </w:r>
            <w:r>
              <w:rPr>
                <w:rFonts w:hint="eastAsia" w:ascii="仿宋" w:hAnsi="仿宋" w:eastAsia="仿宋" w:cs="仿宋"/>
                <w:color w:val="000000"/>
                <w:sz w:val="18"/>
                <w:szCs w:val="18"/>
                <w:lang w:val="en-US"/>
              </w:rPr>
              <w:t>从银屑病患者皮损真皮处分离出真皮间充质干细胞（dermal mesenchymal stem cells, DMSC），并对DMSC中与炎症及血管形成相关基因、炎症因子等生物学特性进行了分析，发现患者来源的DMSC中一些与血管形成及内皮细胞（endothelial cells, EC）分化相关的基因表达异常。进一步探究了银屑病皮损DMSCs来源的EDIL3对内皮细胞功能的影响,并探索其影响内皮细胞生物学功能改变的潜在分子机制,为银屑病血管新生的组织学异常提供理论依据，同时为今后银屑病治疗提供新的靶点。</w:t>
            </w:r>
          </w:p>
        </w:tc>
        <w:tc>
          <w:tcPr>
            <w:tcW w:w="1825"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color w:val="000000"/>
                <w:sz w:val="18"/>
                <w:szCs w:val="18"/>
                <w:lang w:val="en-US"/>
              </w:rPr>
              <w:t>自2021年1月起至今分别于太原市第二人民医院、太原市第一人民医院、小店区人民医院、临汾市中心医院及山西省太原市太钢总医院进行推广应用。综合应用结果显示上述系列研究不仅为银屑病研究提供了新依据，而且为其他免疫性皮肤病的基础与临床研究提供了新思路。</w:t>
            </w:r>
          </w:p>
        </w:tc>
        <w:tc>
          <w:tcPr>
            <w:tcW w:w="589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31" w:leftChars="0" w:right="-31" w:rightChars="-15" w:firstLine="0" w:firstLineChars="0"/>
              <w:jc w:val="left"/>
              <w:textAlignment w:val="auto"/>
              <w:outlineLvl w:val="9"/>
              <w:rPr>
                <w:rFonts w:hint="eastAsia" w:ascii="仿宋" w:hAnsi="仿宋" w:eastAsia="仿宋" w:cs="仿宋"/>
                <w:b/>
                <w:bCs/>
                <w:sz w:val="18"/>
                <w:szCs w:val="18"/>
                <w:lang w:val="en-US"/>
              </w:rPr>
            </w:pPr>
            <w:r>
              <w:rPr>
                <w:rFonts w:hint="eastAsia" w:ascii="仿宋" w:hAnsi="仿宋" w:eastAsia="仿宋" w:cs="仿宋"/>
                <w:b/>
                <w:bCs/>
                <w:sz w:val="18"/>
                <w:szCs w:val="18"/>
                <w:lang w:val="en-US"/>
              </w:rPr>
              <w:t>国</w:t>
            </w:r>
            <w:r>
              <w:rPr>
                <w:rFonts w:hint="eastAsia" w:ascii="仿宋" w:hAnsi="仿宋" w:eastAsia="仿宋" w:cs="仿宋"/>
                <w:b/>
                <w:bCs/>
                <w:sz w:val="18"/>
                <w:szCs w:val="18"/>
                <w:lang w:val="en-US" w:eastAsia="zh-CN"/>
              </w:rPr>
              <w:t>家基金</w:t>
            </w:r>
            <w:r>
              <w:rPr>
                <w:rFonts w:hint="eastAsia" w:ascii="仿宋" w:hAnsi="仿宋" w:eastAsia="仿宋" w:cs="仿宋"/>
                <w:b/>
                <w:bCs/>
                <w:sz w:val="18"/>
                <w:szCs w:val="18"/>
                <w:lang w:val="en-US"/>
              </w:rPr>
              <w:t>结题报告：</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cs="仿宋"/>
                <w:color w:val="000000"/>
                <w:sz w:val="18"/>
                <w:szCs w:val="18"/>
                <w:lang w:val="en-US" w:eastAsia="zh-CN"/>
              </w:rPr>
              <w:t>1.</w:t>
            </w: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lang w:val="en-US"/>
              </w:rPr>
              <w:t>不同表达状态的EDIL3介导的皮肤间充质干细胞在银屑病血管新生中的作用及机理</w:t>
            </w: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lang w:val="en-US"/>
              </w:rPr>
              <w:t>81803146</w:t>
            </w: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lang w:val="en-US"/>
              </w:rPr>
              <w:t>起止时间：2019.01-2021.12.</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p>
          <w:p>
            <w:pPr>
              <w:pStyle w:val="11"/>
              <w:keepNext w:val="0"/>
              <w:keepLines w:val="0"/>
              <w:pageBreakBefore w:val="0"/>
              <w:widowControl w:val="0"/>
              <w:kinsoku/>
              <w:wordWrap/>
              <w:overflowPunct/>
              <w:topLinePunct w:val="0"/>
              <w:autoSpaceDE/>
              <w:autoSpaceDN/>
              <w:bidi w:val="0"/>
              <w:adjustRightInd w:val="0"/>
              <w:snapToGrid w:val="0"/>
              <w:spacing w:line="260" w:lineRule="exact"/>
              <w:ind w:left="0" w:leftChars="0" w:right="0"/>
              <w:jc w:val="both"/>
              <w:textAlignment w:val="auto"/>
              <w:outlineLvl w:val="9"/>
              <w:rPr>
                <w:rFonts w:hint="eastAsia" w:ascii="仿宋" w:hAnsi="仿宋" w:eastAsia="仿宋" w:cs="仿宋"/>
                <w:b/>
                <w:bCs/>
                <w:color w:val="000000"/>
                <w:sz w:val="18"/>
                <w:szCs w:val="18"/>
                <w:lang w:val="en-US" w:eastAsia="zh-CN"/>
              </w:rPr>
            </w:pPr>
            <w:r>
              <w:rPr>
                <w:rFonts w:hint="eastAsia" w:cs="仿宋"/>
                <w:b/>
                <w:bCs/>
                <w:color w:val="auto"/>
                <w:sz w:val="18"/>
                <w:szCs w:val="18"/>
                <w:lang w:val="en-US" w:eastAsia="zh-CN"/>
              </w:rPr>
              <w:t>学术</w:t>
            </w:r>
            <w:r>
              <w:rPr>
                <w:rFonts w:hint="eastAsia" w:ascii="仿宋" w:hAnsi="仿宋" w:eastAsia="仿宋" w:cs="仿宋"/>
                <w:b/>
                <w:bCs/>
                <w:color w:val="auto"/>
                <w:sz w:val="18"/>
                <w:szCs w:val="18"/>
                <w:lang w:val="en-US" w:eastAsia="zh-CN"/>
              </w:rPr>
              <w:t>论文：</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1</w:t>
            </w:r>
            <w:r>
              <w:rPr>
                <w:rFonts w:hint="eastAsia" w:cs="仿宋"/>
                <w:color w:val="000000"/>
                <w:sz w:val="18"/>
                <w:szCs w:val="18"/>
                <w:lang w:val="en-US" w:eastAsia="zh-CN"/>
              </w:rPr>
              <w:t>.</w:t>
            </w:r>
            <w:r>
              <w:rPr>
                <w:rFonts w:hint="eastAsia" w:ascii="仿宋" w:hAnsi="仿宋" w:eastAsia="仿宋" w:cs="仿宋"/>
                <w:color w:val="000000"/>
                <w:sz w:val="18"/>
                <w:szCs w:val="18"/>
                <w:lang w:val="en-US"/>
              </w:rPr>
              <w:t>Niu X, Li X, Feng Z, Han Q, Li J, Liu Y, Zhang K. EDIL3 and VEGF Synergistically Affect Angiogenesis in Endothelial Cells. Clin Cosmet Investig Dermatol. 2023 ;16: 1269-1277.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2</w:t>
            </w:r>
            <w:r>
              <w:rPr>
                <w:rFonts w:hint="eastAsia" w:cs="仿宋"/>
                <w:color w:val="000000"/>
                <w:sz w:val="18"/>
                <w:szCs w:val="18"/>
                <w:lang w:val="en-US" w:eastAsia="zh-CN"/>
              </w:rPr>
              <w:t>.</w:t>
            </w:r>
            <w:r>
              <w:rPr>
                <w:rFonts w:hint="eastAsia" w:ascii="仿宋" w:hAnsi="仿宋" w:eastAsia="仿宋" w:cs="仿宋"/>
                <w:color w:val="000000"/>
                <w:sz w:val="18"/>
                <w:szCs w:val="18"/>
                <w:lang w:val="en-US"/>
              </w:rPr>
              <w:t>Niu X, Han Q, Li X, Li J, Liu Y, Li Y, Wu Y, Zhang K. EDIL3 influenced the αvβ3-FAK/MEK/ERK axis of endothelial cells in psoriasis. J Cell Mol Med. 2022; 26 (20):5202-5212.</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3</w:t>
            </w:r>
            <w:r>
              <w:rPr>
                <w:rFonts w:hint="eastAsia" w:cs="仿宋"/>
                <w:color w:val="000000"/>
                <w:sz w:val="18"/>
                <w:szCs w:val="18"/>
                <w:lang w:val="en-US" w:eastAsia="zh-CN"/>
              </w:rPr>
              <w:t>.</w:t>
            </w:r>
            <w:r>
              <w:rPr>
                <w:rFonts w:hint="eastAsia" w:ascii="仿宋" w:hAnsi="仿宋" w:eastAsia="仿宋" w:cs="仿宋"/>
                <w:color w:val="000000"/>
                <w:sz w:val="18"/>
                <w:szCs w:val="18"/>
                <w:lang w:val="en-US"/>
              </w:rPr>
              <w:t>Niu X, Han Q, Li X, Li J, Liu Y, Li Y, Wu Y. Del-1 in Psoriasis Induced the Expression of αvβ3 and α5β1 in Endothelial Cells. Curr Mol Med. 2022; 22(5):442-448.</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4</w:t>
            </w:r>
            <w:r>
              <w:rPr>
                <w:rFonts w:hint="eastAsia" w:cs="仿宋"/>
                <w:color w:val="000000"/>
                <w:sz w:val="18"/>
                <w:szCs w:val="18"/>
                <w:lang w:val="en-US" w:eastAsia="zh-CN"/>
              </w:rPr>
              <w:t>.</w:t>
            </w:r>
            <w:r>
              <w:rPr>
                <w:rFonts w:hint="eastAsia" w:ascii="仿宋" w:hAnsi="仿宋" w:eastAsia="仿宋" w:cs="仿宋"/>
                <w:color w:val="000000"/>
                <w:sz w:val="18"/>
                <w:szCs w:val="18"/>
                <w:lang w:val="en-US"/>
              </w:rPr>
              <w:t>Niu X, Han Q, Liu Y, Li J, Hou R, Li J, Zhang K. Psoriasis-associated angiogenesis is mediated by EDIL3. Microvasc Res. 2020; 132:104056.</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5</w:t>
            </w:r>
            <w:r>
              <w:rPr>
                <w:rFonts w:hint="eastAsia" w:cs="仿宋"/>
                <w:color w:val="000000"/>
                <w:sz w:val="18"/>
                <w:szCs w:val="18"/>
                <w:lang w:val="en-US" w:eastAsia="zh-CN"/>
              </w:rPr>
              <w:t>.</w:t>
            </w:r>
            <w:r>
              <w:rPr>
                <w:rFonts w:hint="eastAsia" w:ascii="仿宋" w:hAnsi="仿宋" w:eastAsia="仿宋" w:cs="仿宋"/>
                <w:color w:val="000000"/>
                <w:sz w:val="18"/>
                <w:szCs w:val="18"/>
                <w:lang w:val="en-US"/>
              </w:rPr>
              <w:t xml:space="preserve">Niu X, Li J, Zhao X, Wang Q, Wang G, Hou R, Li X, An P, Yin G, Zhang K. Dermal mesenchymal stem cells: a resource of migration-associated function in psoriasis? Stem Cell Res Ther. 2019; 10(1):54. </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6</w:t>
            </w:r>
            <w:r>
              <w:rPr>
                <w:rFonts w:hint="eastAsia" w:cs="仿宋"/>
                <w:color w:val="000000"/>
                <w:sz w:val="18"/>
                <w:szCs w:val="18"/>
                <w:lang w:val="en-US" w:eastAsia="zh-CN"/>
              </w:rPr>
              <w:t>.</w:t>
            </w:r>
            <w:r>
              <w:rPr>
                <w:rFonts w:hint="eastAsia" w:ascii="仿宋" w:hAnsi="仿宋" w:eastAsia="仿宋" w:cs="仿宋"/>
                <w:color w:val="000000"/>
                <w:sz w:val="18"/>
                <w:szCs w:val="18"/>
                <w:lang w:val="en-US"/>
              </w:rPr>
              <w:t>Han Q, Niu X, Hou R, Li J, Liu Y, Li X, Li J, Li Y, Zhang K, Wu Y. Dermal mesenchymal stem cells promoted adhesion and migration of endothelial cells by integrin in psoriasis. Cell Biol Int. 2021; 45(2):358-367.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7</w:t>
            </w:r>
            <w:r>
              <w:rPr>
                <w:rFonts w:hint="eastAsia" w:cs="仿宋"/>
                <w:color w:val="000000"/>
                <w:sz w:val="18"/>
                <w:szCs w:val="18"/>
                <w:lang w:val="en-US" w:eastAsia="zh-CN"/>
              </w:rPr>
              <w:t>.</w:t>
            </w:r>
            <w:r>
              <w:rPr>
                <w:rFonts w:hint="eastAsia" w:ascii="仿宋" w:hAnsi="仿宋" w:eastAsia="仿宋" w:cs="仿宋"/>
                <w:color w:val="000000"/>
                <w:sz w:val="18"/>
                <w:szCs w:val="18"/>
                <w:lang w:val="en-US"/>
              </w:rPr>
              <w:t>牛旭平,韩齐心,张开明.银屑病皮肤间充质干细胞可通过αvβ3整合素受体调节内皮细胞功能.中国药物与临床, 2021, 21(6):4.</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color w:val="000000"/>
                <w:sz w:val="18"/>
                <w:szCs w:val="18"/>
                <w:lang w:val="en-US" w:eastAsia="zh-CN"/>
              </w:rPr>
              <w:t>8</w:t>
            </w:r>
            <w:r>
              <w:rPr>
                <w:rFonts w:hint="eastAsia" w:cs="仿宋"/>
                <w:color w:val="000000"/>
                <w:sz w:val="18"/>
                <w:szCs w:val="18"/>
                <w:lang w:val="en-US" w:eastAsia="zh-CN"/>
              </w:rPr>
              <w:t>.</w:t>
            </w:r>
            <w:r>
              <w:rPr>
                <w:rFonts w:hint="eastAsia" w:ascii="仿宋" w:hAnsi="仿宋" w:eastAsia="仿宋" w:cs="仿宋"/>
                <w:color w:val="000000"/>
                <w:sz w:val="18"/>
                <w:szCs w:val="18"/>
                <w:lang w:val="en-US"/>
              </w:rPr>
              <w:t>韩齐心, 牛旭平, 刘佳, 齐瑞群, 吴严. 间充质干细胞及其外泌体与th17/treg对银屑病发病机制的研究进展. 中华皮肤科杂志, 2020，53(2), 4.</w:t>
            </w:r>
          </w:p>
        </w:tc>
        <w:tc>
          <w:tcPr>
            <w:tcW w:w="769" w:type="dxa"/>
            <w:vAlign w:val="center"/>
          </w:tcPr>
          <w:p>
            <w:pPr>
              <w:pStyle w:val="11"/>
              <w:spacing w:line="260" w:lineRule="exact"/>
              <w:ind w:left="-31" w:leftChars="-15" w:right="-31" w:rightChars="-15"/>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lang w:val="en-US"/>
              </w:rPr>
              <w:t>太原市中心医院</w:t>
            </w:r>
          </w:p>
        </w:tc>
        <w:tc>
          <w:tcPr>
            <w:tcW w:w="843" w:type="dxa"/>
            <w:vAlign w:val="center"/>
          </w:tcPr>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牛旭平</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rPr>
              <w:t>韩齐心、</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周</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val="en-US"/>
              </w:rPr>
              <w:t>玲</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赵新程</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刘燕敏</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王</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val="en-US"/>
              </w:rPr>
              <w:t>强</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color w:val="000000"/>
                <w:sz w:val="18"/>
                <w:szCs w:val="18"/>
                <w:lang w:val="en-US"/>
              </w:rPr>
              <w:t>李</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val="en-US"/>
              </w:rPr>
              <w:t>娟</w:t>
            </w:r>
            <w:r>
              <w:rPr>
                <w:rFonts w:hint="eastAsia" w:ascii="仿宋" w:hAnsi="仿宋" w:eastAsia="仿宋" w:cs="仿宋"/>
                <w:color w:val="000000"/>
                <w:sz w:val="18"/>
                <w:szCs w:val="18"/>
              </w:rPr>
              <w:t>、</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color w:val="000000"/>
                <w:sz w:val="18"/>
                <w:szCs w:val="18"/>
                <w:lang w:val="en-US"/>
              </w:rPr>
              <w:t>侯</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val="en-US"/>
              </w:rPr>
              <w:t>慧</w:t>
            </w:r>
          </w:p>
        </w:tc>
        <w:tc>
          <w:tcPr>
            <w:tcW w:w="515" w:type="dxa"/>
            <w:vAlign w:val="center"/>
          </w:tcPr>
          <w:p>
            <w:pPr>
              <w:pStyle w:val="11"/>
              <w:spacing w:line="260" w:lineRule="exact"/>
              <w:ind w:left="-31" w:leftChars="-15" w:right="-31" w:rightChars="-15"/>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rPr>
              <w:t>山西省科学技术进步</w:t>
            </w:r>
            <w:r>
              <w:rPr>
                <w:rFonts w:hint="eastAsia" w:ascii="仿宋" w:hAnsi="仿宋" w:eastAsia="仿宋" w:cs="仿宋"/>
                <w:color w:val="000000"/>
                <w:sz w:val="18"/>
                <w:szCs w:val="18"/>
                <w:lang w:val="en-US"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901" w:type="dxa"/>
            <w:vAlign w:val="center"/>
          </w:tcPr>
          <w:p>
            <w:pPr>
              <w:pStyle w:val="11"/>
              <w:spacing w:line="260" w:lineRule="exact"/>
              <w:ind w:left="-31" w:leftChars="-15" w:right="-31" w:rightChars="-15"/>
              <w:rPr>
                <w:rFonts w:hint="eastAsia" w:ascii="仿宋" w:hAnsi="仿宋" w:eastAsia="仿宋" w:cs="仿宋"/>
                <w:color w:val="000000"/>
                <w:sz w:val="18"/>
                <w:szCs w:val="18"/>
                <w:lang w:val="en-US"/>
              </w:rPr>
            </w:pPr>
            <w:r>
              <w:rPr>
                <w:rFonts w:hint="eastAsia" w:ascii="仿宋" w:hAnsi="仿宋" w:eastAsia="仿宋" w:cs="仿宋"/>
                <w:sz w:val="18"/>
                <w:szCs w:val="18"/>
              </w:rPr>
              <w:t>多模态影像示踪的载IL-10仿生纳米材料在动脉硬化靶向治疗中的研究</w:t>
            </w:r>
          </w:p>
        </w:tc>
        <w:tc>
          <w:tcPr>
            <w:tcW w:w="2809"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sz w:val="18"/>
                <w:szCs w:val="18"/>
                <w:lang w:val="en-US"/>
              </w:rPr>
              <w:t>动脉硬化（AS）是引起心血管疾病（CVD）事件的重要原因，白介素10（IL10）可有效抑制斑块内炎症，起到稳定、缩小斑块的作用。</w:t>
            </w:r>
            <w:r>
              <w:rPr>
                <w:rFonts w:hint="eastAsia" w:ascii="仿宋" w:hAnsi="仿宋" w:eastAsia="仿宋" w:cs="仿宋"/>
                <w:sz w:val="18"/>
                <w:szCs w:val="18"/>
                <w:lang w:val="en-US" w:eastAsia="zh-CN"/>
              </w:rPr>
              <w:t>由于</w:t>
            </w:r>
            <w:r>
              <w:rPr>
                <w:rFonts w:hint="eastAsia" w:ascii="仿宋" w:hAnsi="仿宋" w:eastAsia="仿宋" w:cs="仿宋"/>
                <w:sz w:val="18"/>
                <w:szCs w:val="18"/>
                <w:lang w:val="en-US"/>
              </w:rPr>
              <w:t>IL10的半衰期短，易被清除，</w:t>
            </w:r>
            <w:r>
              <w:rPr>
                <w:rFonts w:hint="eastAsia" w:cs="仿宋"/>
                <w:sz w:val="18"/>
                <w:szCs w:val="18"/>
                <w:lang w:val="en-US" w:eastAsia="zh-CN"/>
              </w:rPr>
              <w:t>影响</w:t>
            </w:r>
            <w:r>
              <w:rPr>
                <w:rFonts w:hint="eastAsia" w:ascii="仿宋" w:hAnsi="仿宋" w:eastAsia="仿宋" w:cs="仿宋"/>
                <w:sz w:val="18"/>
                <w:szCs w:val="18"/>
                <w:lang w:val="en-US"/>
              </w:rPr>
              <w:t>动脉硬化斑块的精准诊断，尤其是斑块内炎症的判断，目前仍是临床面临的难题之一。</w:t>
            </w:r>
          </w:p>
          <w:p>
            <w:pPr>
              <w:pStyle w:val="11"/>
              <w:spacing w:line="260" w:lineRule="exact"/>
              <w:ind w:left="-31" w:leftChars="-15" w:right="-31" w:rightChars="-15" w:firstLine="360" w:firstLineChars="200"/>
              <w:rPr>
                <w:rFonts w:hint="eastAsia" w:ascii="仿宋" w:hAnsi="仿宋" w:eastAsia="仿宋" w:cs="仿宋"/>
                <w:color w:val="000000"/>
                <w:sz w:val="18"/>
                <w:szCs w:val="18"/>
                <w:lang w:val="en-US"/>
              </w:rPr>
            </w:pPr>
            <w:r>
              <w:rPr>
                <w:rFonts w:hint="eastAsia" w:ascii="仿宋" w:hAnsi="仿宋" w:eastAsia="仿宋" w:cs="仿宋"/>
                <w:sz w:val="18"/>
                <w:szCs w:val="18"/>
                <w:lang w:val="en-US" w:eastAsia="zh-CN"/>
              </w:rPr>
              <w:t>针对以上问题，</w:t>
            </w:r>
            <w:r>
              <w:rPr>
                <w:rFonts w:hint="eastAsia" w:cs="仿宋"/>
                <w:sz w:val="18"/>
                <w:szCs w:val="18"/>
                <w:lang w:val="en-US" w:eastAsia="zh-CN"/>
              </w:rPr>
              <w:t>研</w:t>
            </w:r>
            <w:r>
              <w:rPr>
                <w:rFonts w:hint="eastAsia" w:ascii="仿宋" w:hAnsi="仿宋" w:eastAsia="仿宋" w:cs="仿宋"/>
                <w:sz w:val="18"/>
                <w:szCs w:val="18"/>
                <w:lang w:val="en-US"/>
              </w:rPr>
              <w:t>发了T1-T2双模态Fe3O4/Gd2O3-DHCA纳米立方体磁共振分子影像对比剂，可通过双重信号变化更精准诊断疾病，弥补了目前临床上磁共振诊断仅产生阳性信号的钆对比剂的不足；</w:t>
            </w:r>
            <w:r>
              <w:rPr>
                <w:rFonts w:hint="eastAsia" w:cs="仿宋"/>
                <w:sz w:val="18"/>
                <w:szCs w:val="18"/>
                <w:lang w:val="en-US" w:eastAsia="zh-CN"/>
              </w:rPr>
              <w:t>研</w:t>
            </w:r>
            <w:r>
              <w:rPr>
                <w:rFonts w:hint="eastAsia" w:ascii="仿宋" w:hAnsi="仿宋" w:eastAsia="仿宋" w:cs="仿宋"/>
                <w:sz w:val="18"/>
                <w:szCs w:val="18"/>
                <w:lang w:val="en-US"/>
              </w:rPr>
              <w:t>发了巨噬细胞膜包裹的β-环糊精联合Fe3O4载IL10的纳米材料，对动脉硬化斑块显示出良好的靶向示踪和治疗效果，弥补了目前临床上游离IL10治疗过程中反复给药，吸收率低的缺点，提高了蛋白类药物的生物利用度、药物缓释能力、免疫逃逸能力和靶向性；</w:t>
            </w:r>
            <w:r>
              <w:rPr>
                <w:rFonts w:hint="eastAsia" w:cs="仿宋"/>
                <w:sz w:val="18"/>
                <w:szCs w:val="18"/>
                <w:lang w:val="en-US" w:eastAsia="zh-CN"/>
              </w:rPr>
              <w:t>研</w:t>
            </w:r>
            <w:r>
              <w:rPr>
                <w:rFonts w:hint="eastAsia" w:ascii="仿宋" w:hAnsi="仿宋" w:eastAsia="仿宋" w:cs="仿宋"/>
                <w:sz w:val="18"/>
                <w:szCs w:val="18"/>
                <w:lang w:val="en-US"/>
              </w:rPr>
              <w:t>发了微创血管内超高分辨成像技术，利用0.014英寸的磁共振成像导丝观察动脉血管壁显示出0.2 mm×0.2mm×2mm的超高分辨率，可清晰显示中小动脉壁的斑块信息，利用自制的多模态磁性靶向纳米材料可对血管部位进行良好的示踪及诊疗。</w:t>
            </w:r>
          </w:p>
        </w:tc>
        <w:tc>
          <w:tcPr>
            <w:tcW w:w="1825" w:type="dxa"/>
            <w:vAlign w:val="center"/>
          </w:tcPr>
          <w:p>
            <w:pPr>
              <w:pStyle w:val="11"/>
              <w:spacing w:line="260" w:lineRule="exact"/>
              <w:ind w:left="-31" w:leftChars="-15" w:right="-31" w:rightChars="-15" w:firstLine="360" w:firstLineChars="200"/>
              <w:rPr>
                <w:rFonts w:hint="eastAsia" w:ascii="仿宋" w:hAnsi="仿宋" w:eastAsia="仿宋" w:cs="仿宋"/>
                <w:sz w:val="18"/>
                <w:szCs w:val="18"/>
                <w:lang w:val="en-US"/>
              </w:rPr>
            </w:pPr>
            <w:r>
              <w:rPr>
                <w:rFonts w:hint="eastAsia" w:ascii="仿宋" w:hAnsi="仿宋" w:eastAsia="仿宋" w:cs="仿宋"/>
                <w:sz w:val="18"/>
                <w:szCs w:val="18"/>
                <w:lang w:val="en-US" w:eastAsia="zh-CN"/>
              </w:rPr>
              <w:t>该</w:t>
            </w:r>
            <w:r>
              <w:rPr>
                <w:rFonts w:hint="eastAsia" w:ascii="仿宋" w:hAnsi="仿宋" w:eastAsia="仿宋" w:cs="仿宋"/>
                <w:sz w:val="18"/>
                <w:szCs w:val="18"/>
                <w:lang w:val="en-US"/>
              </w:rPr>
              <w:t>项目开发的双模态分子影像对比剂和载IL-10的仿生磁性靶向纳米材料</w:t>
            </w:r>
            <w:r>
              <w:rPr>
                <w:rFonts w:hint="eastAsia" w:ascii="仿宋" w:hAnsi="仿宋" w:eastAsia="仿宋" w:cs="仿宋"/>
                <w:sz w:val="18"/>
                <w:szCs w:val="18"/>
                <w:lang w:val="en-US" w:eastAsia="zh-CN"/>
              </w:rPr>
              <w:t>应用于</w:t>
            </w:r>
            <w:r>
              <w:rPr>
                <w:rFonts w:hint="eastAsia" w:ascii="仿宋" w:hAnsi="仿宋" w:eastAsia="仿宋" w:cs="仿宋"/>
                <w:sz w:val="18"/>
                <w:szCs w:val="18"/>
                <w:lang w:val="en-US"/>
              </w:rPr>
              <w:t>太原理工大学生物医学领域的研究工作中，并对其科研工作起到良好的技术支撑。</w:t>
            </w:r>
          </w:p>
          <w:p>
            <w:pPr>
              <w:pStyle w:val="11"/>
              <w:spacing w:line="260" w:lineRule="exact"/>
              <w:ind w:left="-31" w:leftChars="-15" w:right="-31" w:rightChars="-15" w:firstLine="360" w:firstLineChars="200"/>
              <w:rPr>
                <w:rFonts w:hint="eastAsia" w:ascii="仿宋" w:hAnsi="仿宋" w:eastAsia="仿宋" w:cs="仿宋"/>
                <w:color w:val="000000"/>
                <w:sz w:val="18"/>
                <w:szCs w:val="18"/>
                <w:lang w:val="en-US"/>
              </w:rPr>
            </w:pPr>
            <w:r>
              <w:rPr>
                <w:rFonts w:hint="eastAsia" w:ascii="仿宋" w:hAnsi="仿宋" w:eastAsia="仿宋" w:cs="仿宋"/>
                <w:sz w:val="18"/>
                <w:szCs w:val="18"/>
                <w:lang w:val="en-US" w:eastAsia="zh-CN"/>
              </w:rPr>
              <w:t>该研究</w:t>
            </w:r>
            <w:r>
              <w:rPr>
                <w:rFonts w:hint="eastAsia" w:ascii="仿宋" w:hAnsi="仿宋" w:eastAsia="仿宋" w:cs="仿宋"/>
                <w:sz w:val="18"/>
                <w:szCs w:val="18"/>
                <w:lang w:val="en-US"/>
              </w:rPr>
              <w:t>成果</w:t>
            </w:r>
            <w:r>
              <w:rPr>
                <w:rFonts w:hint="eastAsia" w:ascii="仿宋" w:hAnsi="仿宋" w:eastAsia="仿宋" w:cs="仿宋"/>
                <w:sz w:val="18"/>
                <w:szCs w:val="18"/>
                <w:lang w:val="en-US" w:eastAsia="zh-CN"/>
              </w:rPr>
              <w:t>“</w:t>
            </w:r>
            <w:r>
              <w:rPr>
                <w:rFonts w:hint="eastAsia" w:ascii="仿宋" w:hAnsi="仿宋" w:eastAsia="仿宋" w:cs="仿宋"/>
                <w:sz w:val="18"/>
                <w:szCs w:val="18"/>
                <w:lang w:val="en-US"/>
              </w:rPr>
              <w:t>高分辨磁共振斑块成像</w:t>
            </w:r>
            <w:r>
              <w:rPr>
                <w:rFonts w:hint="eastAsia" w:ascii="仿宋" w:hAnsi="仿宋" w:eastAsia="仿宋" w:cs="仿宋"/>
                <w:sz w:val="18"/>
                <w:szCs w:val="18"/>
                <w:lang w:val="en-US" w:eastAsia="zh-CN"/>
              </w:rPr>
              <w:t>”</w:t>
            </w:r>
            <w:r>
              <w:rPr>
                <w:rFonts w:hint="eastAsia" w:ascii="仿宋" w:hAnsi="仿宋" w:eastAsia="仿宋" w:cs="仿宋"/>
                <w:sz w:val="18"/>
                <w:szCs w:val="18"/>
                <w:lang w:val="en-US"/>
              </w:rPr>
              <w:t>应用于上海市第一人民医院、哈尔滨医科大学附属第四医院、浙江省丽水市中心医院、太原市妇幼保健院和太原市小店区人民医院</w:t>
            </w:r>
            <w:r>
              <w:rPr>
                <w:rFonts w:hint="eastAsia" w:ascii="仿宋" w:hAnsi="仿宋" w:eastAsia="仿宋" w:cs="仿宋"/>
                <w:sz w:val="18"/>
                <w:szCs w:val="18"/>
                <w:lang w:val="en-US" w:eastAsia="zh-CN"/>
              </w:rPr>
              <w:t>等</w:t>
            </w:r>
            <w:r>
              <w:rPr>
                <w:rFonts w:hint="eastAsia" w:ascii="仿宋" w:hAnsi="仿宋" w:eastAsia="仿宋" w:cs="仿宋"/>
                <w:sz w:val="18"/>
                <w:szCs w:val="18"/>
                <w:lang w:val="en-US"/>
              </w:rPr>
              <w:t>各级医疗机构。该技术的应用对于动脉粥样硬化疾病诊断的敏感性和特异性得到有效的提升，治疗效果取得良好的成效。</w:t>
            </w:r>
          </w:p>
        </w:tc>
        <w:tc>
          <w:tcPr>
            <w:tcW w:w="589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31" w:leftChars="0" w:right="-31" w:rightChars="-15" w:firstLine="0" w:firstLineChars="0"/>
              <w:jc w:val="left"/>
              <w:textAlignment w:val="auto"/>
              <w:outlineLvl w:val="9"/>
              <w:rPr>
                <w:rFonts w:hint="eastAsia" w:ascii="仿宋" w:hAnsi="仿宋" w:eastAsia="仿宋" w:cs="仿宋"/>
                <w:b/>
                <w:bCs/>
                <w:sz w:val="18"/>
                <w:szCs w:val="18"/>
                <w:lang w:val="en-US"/>
              </w:rPr>
            </w:pPr>
            <w:r>
              <w:rPr>
                <w:rFonts w:hint="eastAsia" w:ascii="仿宋" w:hAnsi="仿宋" w:eastAsia="仿宋" w:cs="仿宋"/>
                <w:b/>
                <w:bCs/>
                <w:sz w:val="18"/>
                <w:szCs w:val="18"/>
                <w:lang w:val="en-US"/>
              </w:rPr>
              <w:t>国</w:t>
            </w:r>
            <w:r>
              <w:rPr>
                <w:rFonts w:hint="eastAsia" w:ascii="仿宋" w:hAnsi="仿宋" w:eastAsia="仿宋" w:cs="仿宋"/>
                <w:b/>
                <w:bCs/>
                <w:sz w:val="18"/>
                <w:szCs w:val="18"/>
                <w:lang w:val="en-US" w:eastAsia="zh-CN"/>
              </w:rPr>
              <w:t>家基金</w:t>
            </w:r>
            <w:r>
              <w:rPr>
                <w:rFonts w:hint="eastAsia" w:ascii="仿宋" w:hAnsi="仿宋" w:eastAsia="仿宋" w:cs="仿宋"/>
                <w:b/>
                <w:bCs/>
                <w:sz w:val="18"/>
                <w:szCs w:val="18"/>
                <w:lang w:val="en-US"/>
              </w:rPr>
              <w:t>结题报告：</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firstLine="0" w:firstLineChars="0"/>
              <w:textAlignment w:val="auto"/>
              <w:outlineLvl w:val="9"/>
              <w:rPr>
                <w:rFonts w:hint="eastAsia" w:ascii="仿宋" w:hAnsi="仿宋" w:eastAsia="仿宋" w:cs="仿宋"/>
                <w:sz w:val="18"/>
                <w:szCs w:val="18"/>
                <w:lang w:val="en-US"/>
              </w:rPr>
            </w:pPr>
            <w:r>
              <w:rPr>
                <w:rFonts w:hint="eastAsia" w:cs="仿宋"/>
                <w:sz w:val="18"/>
                <w:szCs w:val="18"/>
                <w:lang w:val="en-US" w:eastAsia="zh-CN"/>
              </w:rPr>
              <w:t>1.</w:t>
            </w:r>
            <w:r>
              <w:rPr>
                <w:rFonts w:hint="eastAsia" w:ascii="仿宋" w:hAnsi="仿宋" w:eastAsia="仿宋" w:cs="仿宋"/>
                <w:sz w:val="18"/>
                <w:szCs w:val="18"/>
                <w:lang w:val="en-US"/>
              </w:rPr>
              <w:t>国家自然科学基金资助项目“血管内多模态X线-磁共振杂交导航/射频加热增强冠状动脉粥样硬化基因治疗的基础研究”结题报告，2021年2月，太原市中心医院，孟延锋。</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firstLine="0" w:firstLineChars="0"/>
              <w:textAlignment w:val="auto"/>
              <w:outlineLvl w:val="9"/>
              <w:rPr>
                <w:rFonts w:hint="eastAsia" w:ascii="仿宋" w:hAnsi="仿宋" w:eastAsia="仿宋" w:cs="仿宋"/>
                <w:sz w:val="18"/>
                <w:szCs w:val="18"/>
                <w:lang w:val="en-US"/>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sz w:val="18"/>
                <w:szCs w:val="18"/>
                <w:lang w:val="en-US"/>
              </w:rPr>
            </w:pPr>
            <w:r>
              <w:rPr>
                <w:rFonts w:hint="eastAsia" w:cs="仿宋"/>
                <w:b/>
                <w:bCs/>
                <w:sz w:val="18"/>
                <w:szCs w:val="18"/>
                <w:lang w:val="en-US" w:eastAsia="zh-CN"/>
              </w:rPr>
              <w:t>学术论文</w:t>
            </w:r>
            <w:r>
              <w:rPr>
                <w:rFonts w:hint="eastAsia" w:ascii="仿宋" w:hAnsi="仿宋" w:eastAsia="仿宋" w:cs="仿宋"/>
                <w:sz w:val="18"/>
                <w:szCs w:val="18"/>
                <w:lang w:val="en-US"/>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rPr>
              <w:t>1</w:t>
            </w:r>
            <w:r>
              <w:rPr>
                <w:rFonts w:hint="eastAsia" w:cs="仿宋"/>
                <w:sz w:val="18"/>
                <w:szCs w:val="18"/>
                <w:lang w:val="en-US" w:eastAsia="zh-CN"/>
              </w:rPr>
              <w:t>.</w:t>
            </w:r>
            <w:r>
              <w:rPr>
                <w:rFonts w:hint="eastAsia" w:ascii="仿宋" w:hAnsi="仿宋" w:eastAsia="仿宋" w:cs="仿宋"/>
                <w:sz w:val="18"/>
                <w:szCs w:val="18"/>
                <w:lang w:val="en-US"/>
              </w:rPr>
              <w:t>Miao Qin, Yueyou Peng, Mengjie Xu, Hui Yan, Yizhu Cheng, Xiumei Zhang, Di Huang, Weiyi Chen and Yanfeng Meng*. Uniform Fe3O4/Gd2O3-DHCA nanocubes for dual-mode magnetic resonance imaging. Beilstein Journal of Nanotechnolgy, 2020, 11: 1000-1009.</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rPr>
              <w:t>2</w:t>
            </w:r>
            <w:r>
              <w:rPr>
                <w:rFonts w:hint="eastAsia" w:cs="仿宋"/>
                <w:sz w:val="18"/>
                <w:szCs w:val="18"/>
                <w:lang w:val="en-US" w:eastAsia="zh-CN"/>
              </w:rPr>
              <w:t>.</w:t>
            </w:r>
            <w:r>
              <w:rPr>
                <w:rFonts w:hint="eastAsia" w:ascii="仿宋" w:hAnsi="仿宋" w:eastAsia="仿宋" w:cs="仿宋"/>
                <w:sz w:val="18"/>
                <w:szCs w:val="18"/>
                <w:lang w:val="en-US"/>
              </w:rPr>
              <w:t>Tianfeng Shi, Kunkun Liu, Tingting Liu, Ningning Song, Weibin Dai, Donglian Du, Xiaoqiong Li, Yueyou Peng*, Yanfeng Meng*. Macrophage membrane‑coated biomimetic magnetic nanoparticle loaded with interleukin 10 as potential candidate towards anti-atherosclerotic therapy: characterization and in vitro studies. Journal of Nanopartical Research. 2023, 25(9):183.</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rPr>
              <w:t>3</w:t>
            </w:r>
            <w:r>
              <w:rPr>
                <w:rFonts w:hint="eastAsia" w:cs="仿宋"/>
                <w:sz w:val="18"/>
                <w:szCs w:val="18"/>
                <w:lang w:val="en-US" w:eastAsia="zh-CN"/>
              </w:rPr>
              <w:t>.</w:t>
            </w:r>
            <w:r>
              <w:rPr>
                <w:rFonts w:hint="eastAsia" w:ascii="仿宋" w:hAnsi="仿宋" w:eastAsia="仿宋" w:cs="仿宋"/>
                <w:sz w:val="18"/>
                <w:szCs w:val="18"/>
                <w:lang w:val="en-US"/>
              </w:rPr>
              <w:t>Yanfeng Meng, Zhiguang Mo*, Jinying Hao, Yueyou Peng, Hui Yan, Jingbo Mu, Dengfeng Ma，Xiaoliang Zhang，Ye Li*. High-resolution intravascular magnetic resonance imaging of the coronary artery wall at 3.0 Tesla: toward evaluation of atherosclerotic plaque vulnerability. Quantitative Imaging in Medcine and Surgery. 2021, 11(11) :4522-4529.</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rPr>
              <w:t>4</w:t>
            </w:r>
            <w:r>
              <w:rPr>
                <w:rFonts w:hint="eastAsia" w:cs="仿宋"/>
                <w:sz w:val="18"/>
                <w:szCs w:val="18"/>
                <w:lang w:val="en-US" w:eastAsia="zh-CN"/>
              </w:rPr>
              <w:t>.</w:t>
            </w:r>
            <w:r>
              <w:rPr>
                <w:rFonts w:hint="eastAsia" w:ascii="仿宋" w:hAnsi="仿宋" w:eastAsia="仿宋" w:cs="仿宋"/>
                <w:sz w:val="18"/>
                <w:szCs w:val="18"/>
                <w:lang w:val="en-US"/>
              </w:rPr>
              <w:t>Tianfeng Shi, Kunkun Liu, Yueyou Peng, Weibin Dai, Donglian Du, Xiaoqiong Li, Tingting Liu, Ningning Song, Yanfeng Meng*. Research progress on the therapeutic effects of nanoparticles loaded with drugs against atherosclerosis. Cardiovascular drugs and therapy 2023 May 13.</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0" w:firstLineChars="0"/>
              <w:textAlignment w:val="auto"/>
              <w:outlineLvl w:val="9"/>
              <w:rPr>
                <w:rFonts w:hint="eastAsia" w:ascii="仿宋" w:hAnsi="仿宋" w:eastAsia="仿宋" w:cs="仿宋"/>
                <w:color w:val="000000"/>
                <w:sz w:val="18"/>
                <w:szCs w:val="18"/>
                <w:lang w:val="en-US"/>
              </w:rPr>
            </w:pPr>
            <w:r>
              <w:rPr>
                <w:rFonts w:hint="eastAsia" w:ascii="仿宋" w:hAnsi="仿宋" w:eastAsia="仿宋" w:cs="仿宋"/>
                <w:sz w:val="18"/>
                <w:szCs w:val="18"/>
                <w:lang w:val="en-US"/>
              </w:rPr>
              <w:t>5</w:t>
            </w:r>
            <w:r>
              <w:rPr>
                <w:rFonts w:hint="eastAsia" w:cs="仿宋"/>
                <w:sz w:val="18"/>
                <w:szCs w:val="18"/>
                <w:lang w:val="en-US" w:eastAsia="zh-CN"/>
              </w:rPr>
              <w:t>.</w:t>
            </w:r>
            <w:r>
              <w:rPr>
                <w:rFonts w:hint="eastAsia" w:ascii="仿宋" w:hAnsi="仿宋" w:eastAsia="仿宋" w:cs="仿宋"/>
                <w:sz w:val="18"/>
                <w:szCs w:val="18"/>
                <w:lang w:val="en-US"/>
              </w:rPr>
              <w:t>秦苗，徐梦洁，黄棣，魏延，孟延锋*，陈维毅. 氧化铁纳米颗粒在磁共振成像中的应用.化学进展, 2020, 32(9), 1264-1273.</w:t>
            </w:r>
          </w:p>
        </w:tc>
        <w:tc>
          <w:tcPr>
            <w:tcW w:w="769" w:type="dxa"/>
            <w:vAlign w:val="center"/>
          </w:tcPr>
          <w:p>
            <w:pPr>
              <w:pStyle w:val="11"/>
              <w:spacing w:line="260" w:lineRule="exact"/>
              <w:ind w:left="-31" w:leftChars="-15" w:right="-31" w:rightChars="-15"/>
              <w:rPr>
                <w:rFonts w:hint="eastAsia" w:ascii="仿宋" w:hAnsi="仿宋" w:eastAsia="仿宋" w:cs="仿宋"/>
                <w:sz w:val="18"/>
                <w:szCs w:val="18"/>
                <w:lang w:val="en-US" w:eastAsia="zh-CN"/>
              </w:rPr>
            </w:pPr>
            <w:r>
              <w:rPr>
                <w:rFonts w:hint="eastAsia" w:ascii="仿宋" w:hAnsi="仿宋" w:eastAsia="仿宋" w:cs="仿宋"/>
                <w:sz w:val="18"/>
                <w:szCs w:val="18"/>
                <w:lang w:val="en-US"/>
              </w:rPr>
              <w:t>太原市中心医院</w:t>
            </w:r>
          </w:p>
        </w:tc>
        <w:tc>
          <w:tcPr>
            <w:tcW w:w="843" w:type="dxa"/>
            <w:vAlign w:val="center"/>
          </w:tcPr>
          <w:p>
            <w:pPr>
              <w:pStyle w:val="11"/>
              <w:spacing w:line="260" w:lineRule="exact"/>
              <w:ind w:left="-31" w:leftChars="-15" w:right="-31" w:rightChars="-15"/>
              <w:rPr>
                <w:rFonts w:hint="eastAsia" w:ascii="仿宋" w:hAnsi="仿宋" w:eastAsia="仿宋" w:cs="仿宋"/>
                <w:color w:val="000000"/>
                <w:sz w:val="18"/>
                <w:szCs w:val="18"/>
                <w:lang w:val="en-US"/>
              </w:rPr>
            </w:pPr>
            <w:r>
              <w:rPr>
                <w:rFonts w:hint="eastAsia" w:ascii="仿宋" w:hAnsi="仿宋" w:eastAsia="仿宋" w:cs="仿宋"/>
                <w:sz w:val="18"/>
                <w:szCs w:val="18"/>
                <w:lang w:val="en-US"/>
              </w:rPr>
              <w:t>孟延锋、彭跃有、代卫斌、石甜凤、秦</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val="en-US"/>
              </w:rPr>
              <w:t>苗</w:t>
            </w:r>
          </w:p>
        </w:tc>
        <w:tc>
          <w:tcPr>
            <w:tcW w:w="515" w:type="dxa"/>
            <w:vAlign w:val="center"/>
          </w:tcPr>
          <w:p>
            <w:pPr>
              <w:pStyle w:val="11"/>
              <w:spacing w:line="260" w:lineRule="exact"/>
              <w:ind w:left="-31" w:leftChars="-15" w:right="-31" w:rightChars="-15"/>
              <w:rPr>
                <w:rFonts w:hint="eastAsia" w:ascii="仿宋" w:hAnsi="仿宋" w:eastAsia="仿宋" w:cs="仿宋"/>
                <w:color w:val="000000"/>
                <w:sz w:val="18"/>
                <w:szCs w:val="18"/>
              </w:rPr>
            </w:pPr>
            <w:r>
              <w:rPr>
                <w:rFonts w:hint="eastAsia" w:ascii="仿宋" w:hAnsi="仿宋" w:eastAsia="仿宋" w:cs="仿宋"/>
                <w:sz w:val="18"/>
                <w:szCs w:val="18"/>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901"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zh-CN" w:eastAsia="zh-CN" w:bidi="zh-CN"/>
              </w:rPr>
            </w:pPr>
            <w:r>
              <w:rPr>
                <w:rFonts w:hint="eastAsia" w:ascii="仿宋" w:hAnsi="仿宋" w:eastAsia="仿宋" w:cs="仿宋"/>
                <w:bCs/>
                <w:sz w:val="18"/>
                <w:szCs w:val="18"/>
              </w:rPr>
              <w:t>城市地铁车站与大型立交桥立体平行共建关键技术</w:t>
            </w:r>
          </w:p>
        </w:tc>
        <w:tc>
          <w:tcPr>
            <w:tcW w:w="2809" w:type="dxa"/>
            <w:vAlign w:val="center"/>
          </w:tcPr>
          <w:p>
            <w:pPr>
              <w:keepNext w:val="0"/>
              <w:keepLines w:val="0"/>
              <w:pageBreakBefore w:val="0"/>
              <w:widowControl w:val="0"/>
              <w:kinsoku/>
              <w:overflowPunct/>
              <w:topLinePunct w:val="0"/>
              <w:autoSpaceDE/>
              <w:autoSpaceDN/>
              <w:bidi w:val="0"/>
              <w:adjustRightInd/>
              <w:snapToGrid/>
              <w:spacing w:line="260" w:lineRule="exact"/>
              <w:ind w:firstLine="360" w:firstLineChars="200"/>
              <w:jc w:val="left"/>
              <w:textAlignment w:val="auto"/>
              <w:rPr>
                <w:rFonts w:hint="eastAsia" w:ascii="仿宋" w:hAnsi="仿宋" w:eastAsia="仿宋" w:cs="仿宋"/>
                <w:color w:val="FF0000"/>
                <w:kern w:val="2"/>
                <w:sz w:val="18"/>
                <w:szCs w:val="18"/>
                <w:lang w:val="en-US" w:eastAsia="zh-CN" w:bidi="ar-SA"/>
              </w:rPr>
            </w:pPr>
            <w:r>
              <w:rPr>
                <w:rFonts w:hint="eastAsia" w:ascii="仿宋" w:hAnsi="仿宋" w:eastAsia="仿宋" w:cs="仿宋"/>
                <w:bCs/>
                <w:sz w:val="18"/>
                <w:szCs w:val="18"/>
                <w:lang w:eastAsia="zh-CN"/>
              </w:rPr>
              <w:t>该项目对地铁站隧道与大型立交桥立体近接平行共建力学行为、复杂环境下基坑降水对车站桥桩的影响、盾构掘进施工对近接摩擦性桩基的扰动影响、地铁车辆运行振动对站桥隧共建结构工程振动响应及基于BIM技术的站桥隧共建工程智慧化工地等关键技术进行了深入研究。建立了地铁车站与大型立交桥立体近接三维精细化模型，揭示了站桥近接施工结构与周边环境糯合受力变形规律，形成了一套确保结构安全与质量的站桥近接施工关键技术体系，对施工的关键技术的决策起到指导作用:分析盾构隧道近距离侧穿桥梁受力变形，合理制定盾构姿态和各种参数以及柏关的加固措施，保证了地面沉降&lt;3m</w:t>
            </w:r>
            <w:r>
              <w:rPr>
                <w:rFonts w:hint="eastAsia" w:ascii="仿宋" w:hAnsi="仿宋" w:eastAsia="仿宋" w:cs="仿宋"/>
                <w:bCs/>
                <w:sz w:val="18"/>
                <w:szCs w:val="18"/>
                <w:lang w:val="en-US" w:eastAsia="zh-CN"/>
              </w:rPr>
              <w:t>m</w:t>
            </w:r>
            <w:r>
              <w:rPr>
                <w:rFonts w:hint="eastAsia" w:ascii="仿宋" w:hAnsi="仿宋" w:eastAsia="仿宋" w:cs="仿宋"/>
                <w:bCs/>
                <w:sz w:val="18"/>
                <w:szCs w:val="18"/>
                <w:lang w:eastAsia="zh-CN"/>
              </w:rPr>
              <w:t>，远小于控制值；采用了BIM技术，建立了站桥近接工程信息化管理平台，实现了施工过程数宇化、可视化的信息化管理，保证了工程安全和质量。</w:t>
            </w:r>
          </w:p>
        </w:tc>
        <w:tc>
          <w:tcPr>
            <w:tcW w:w="1825" w:type="dxa"/>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360" w:firstLineChars="200"/>
              <w:jc w:val="left"/>
              <w:textAlignment w:val="auto"/>
              <w:rPr>
                <w:rFonts w:hint="eastAsia" w:ascii="仿宋" w:hAnsi="仿宋" w:eastAsia="仿宋" w:cs="仿宋"/>
                <w:bCs/>
                <w:sz w:val="18"/>
                <w:szCs w:val="18"/>
              </w:rPr>
            </w:pPr>
            <w:r>
              <w:rPr>
                <w:rFonts w:hint="eastAsia" w:ascii="仿宋" w:hAnsi="仿宋" w:eastAsia="仿宋" w:cs="仿宋"/>
                <w:bCs/>
                <w:sz w:val="18"/>
                <w:szCs w:val="18"/>
                <w:lang w:eastAsia="zh-CN"/>
              </w:rPr>
              <w:t>该</w:t>
            </w:r>
            <w:r>
              <w:rPr>
                <w:rFonts w:hint="eastAsia" w:ascii="仿宋" w:hAnsi="仿宋" w:eastAsia="仿宋" w:cs="仿宋"/>
                <w:bCs/>
                <w:sz w:val="18"/>
                <w:szCs w:val="18"/>
              </w:rPr>
              <w:t>成果</w:t>
            </w:r>
            <w:r>
              <w:rPr>
                <w:rFonts w:hint="eastAsia" w:ascii="仿宋" w:hAnsi="仿宋" w:eastAsia="仿宋" w:cs="仿宋"/>
                <w:bCs/>
                <w:sz w:val="18"/>
                <w:szCs w:val="18"/>
                <w:lang w:val="en-US" w:eastAsia="zh-CN"/>
              </w:rPr>
              <w:t>应用于</w:t>
            </w:r>
            <w:r>
              <w:rPr>
                <w:rFonts w:hint="eastAsia" w:ascii="仿宋" w:hAnsi="仿宋" w:eastAsia="仿宋" w:cs="仿宋"/>
                <w:bCs/>
                <w:sz w:val="18"/>
                <w:szCs w:val="18"/>
              </w:rPr>
              <w:t>太原地铁2号线西涧河站与改建尖草坪桥、太原地铁2号线北大街站与解放北路改造工程跨线桥、太原地铁2号线缉虎营站与与解放北路改造工程跨线桥、太原地铁矿小区间与北中环跨线桥、太原地铁小西区间与解放北路主线桥、太原地铁府缉区间与解放北路主线桥、太原地铁缉北区间与解放北路主线桥工程。</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bCs/>
                <w:sz w:val="18"/>
                <w:szCs w:val="18"/>
                <w:lang w:val="en-US" w:eastAsia="zh-CN"/>
              </w:rPr>
              <w:t>同时</w:t>
            </w:r>
            <w:r>
              <w:rPr>
                <w:rFonts w:hint="eastAsia" w:cs="仿宋"/>
                <w:bCs/>
                <w:sz w:val="18"/>
                <w:szCs w:val="18"/>
                <w:lang w:val="en-US" w:eastAsia="zh-CN"/>
              </w:rPr>
              <w:t>，</w:t>
            </w:r>
            <w:r>
              <w:rPr>
                <w:rFonts w:hint="eastAsia" w:ascii="仿宋" w:hAnsi="仿宋" w:eastAsia="仿宋" w:cs="仿宋"/>
                <w:bCs/>
                <w:sz w:val="18"/>
                <w:szCs w:val="18"/>
              </w:rPr>
              <w:t>成果</w:t>
            </w:r>
            <w:r>
              <w:rPr>
                <w:rFonts w:hint="eastAsia" w:cs="仿宋"/>
                <w:bCs/>
                <w:sz w:val="18"/>
                <w:szCs w:val="18"/>
                <w:lang w:eastAsia="zh-CN"/>
              </w:rPr>
              <w:t>应</w:t>
            </w:r>
            <w:r>
              <w:rPr>
                <w:rFonts w:hint="eastAsia" w:ascii="仿宋" w:hAnsi="仿宋" w:eastAsia="仿宋" w:cs="仿宋"/>
                <w:bCs/>
                <w:sz w:val="18"/>
                <w:szCs w:val="18"/>
              </w:rPr>
              <w:t>用于成都地铁3号线与武候大道改建工程跨线桥、成都地铁1号线人南立</w:t>
            </w:r>
            <w:r>
              <w:rPr>
                <w:rFonts w:hint="eastAsia" w:cs="仿宋"/>
                <w:bCs/>
                <w:sz w:val="18"/>
                <w:szCs w:val="18"/>
                <w:lang w:eastAsia="zh-CN"/>
              </w:rPr>
              <w:t>交</w:t>
            </w:r>
            <w:r>
              <w:rPr>
                <w:rFonts w:hint="eastAsia" w:ascii="仿宋" w:hAnsi="仿宋" w:eastAsia="仿宋" w:cs="仿宋"/>
                <w:bCs/>
                <w:sz w:val="18"/>
                <w:szCs w:val="18"/>
              </w:rPr>
              <w:t>桥匝道工程、成都地铁2号线羊西线匝道改造、成都地铁3号线川陕立桥匝道工程、成都地铁4号线光华路匝道互通立交工程。</w:t>
            </w:r>
            <w:r>
              <w:rPr>
                <w:rFonts w:hint="eastAsia" w:ascii="仿宋" w:hAnsi="仿宋" w:eastAsia="仿宋" w:cs="仿宋"/>
                <w:bCs/>
                <w:sz w:val="18"/>
                <w:szCs w:val="18"/>
                <w:lang w:val="en-US" w:eastAsia="zh-CN"/>
              </w:rPr>
              <w:t>北京地铁昌南线区间与市政桥梁工程。</w:t>
            </w:r>
          </w:p>
        </w:tc>
        <w:tc>
          <w:tcPr>
            <w:tcW w:w="589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发明专利：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1.基于模拟接头模型的盾构隧道内力计算方法ZL201911138713.3</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2.一种盾构隧道管片设计参数优化方法ZL201911109969.1</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3.一种可制作多形式榫头的盾构隧道管片模具ZL201810832888.3</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4.利用BIM实现钢桁拱桥梁工程统计的方法及装置ZL201510123013.2</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5.一种隧道不规则裂隙注浆设备ZL202111276988.0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6.适用于上下叠落地铁区间的C型联络通道结构及施工方法ZL201810870914.1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7.砂卵石漂石层超前成孔工法ZL201010151732.2</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8.一种水平钻孔的施工方法ZL200710050509.7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180" w:firstLineChars="100"/>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实用新型专利：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w:t>
            </w:r>
            <w:r>
              <w:rPr>
                <w:rFonts w:hint="eastAsia" w:ascii="仿宋" w:hAnsi="仿宋" w:eastAsia="仿宋" w:cs="仿宋"/>
                <w:color w:val="auto"/>
                <w:sz w:val="18"/>
                <w:szCs w:val="18"/>
                <w:lang w:val="en-US" w:eastAsia="zh-CN"/>
              </w:rPr>
              <w:t>.穿墙管部位防水层铺设结构ZL201821969587.7</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2.一种止水带定位夹持装置ZL202222055270.5</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3.一种明挖区间施工用衬砌台车ZL201922292439.7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180" w:firstLineChars="100"/>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软件著作权：</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w:t>
            </w:r>
            <w:r>
              <w:rPr>
                <w:rFonts w:hint="eastAsia" w:ascii="仿宋" w:hAnsi="仿宋" w:eastAsia="仿宋" w:cs="仿宋"/>
                <w:color w:val="auto"/>
                <w:sz w:val="18"/>
                <w:szCs w:val="18"/>
                <w:lang w:val="en-US" w:eastAsia="zh-CN"/>
              </w:rPr>
              <w:t>BIM项目管控平台</w:t>
            </w:r>
            <w:r>
              <w:rPr>
                <w:rFonts w:hint="eastAsia" w:cs="仿宋"/>
                <w:color w:val="auto"/>
                <w:sz w:val="18"/>
                <w:szCs w:val="18"/>
                <w:lang w:val="en-US" w:eastAsia="zh-CN"/>
              </w:rPr>
              <w:t>，</w:t>
            </w:r>
            <w:r>
              <w:rPr>
                <w:rFonts w:hint="eastAsia" w:ascii="仿宋" w:hAnsi="仿宋" w:eastAsia="仿宋" w:cs="仿宋"/>
                <w:color w:val="auto"/>
                <w:sz w:val="18"/>
                <w:szCs w:val="18"/>
                <w:lang w:val="en-US" w:eastAsia="zh-CN"/>
              </w:rPr>
              <w:t>登记号2016SR158916</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行业标准：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1.城市轨道交通工程盾构管片预埋槽道应用技术标准DBJ04/T409-2020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b/>
                <w:bCs/>
                <w:color w:val="auto"/>
                <w:sz w:val="18"/>
                <w:szCs w:val="18"/>
                <w:lang w:val="en-US" w:eastAsia="zh-CN"/>
              </w:rPr>
            </w:pPr>
            <w:r>
              <w:rPr>
                <w:rFonts w:hint="eastAsia" w:cs="仿宋"/>
                <w:b/>
                <w:bCs/>
                <w:color w:val="auto"/>
                <w:sz w:val="18"/>
                <w:szCs w:val="18"/>
                <w:lang w:val="en-US" w:eastAsia="zh-CN"/>
              </w:rPr>
              <w:t>学术</w:t>
            </w:r>
            <w:r>
              <w:rPr>
                <w:rFonts w:hint="eastAsia" w:ascii="仿宋" w:hAnsi="仿宋" w:eastAsia="仿宋" w:cs="仿宋"/>
                <w:b/>
                <w:bCs/>
                <w:color w:val="auto"/>
                <w:sz w:val="18"/>
                <w:szCs w:val="18"/>
                <w:lang w:val="en-US" w:eastAsia="zh-CN"/>
              </w:rPr>
              <w:t>论文：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1.Qixiang Yan, Minghui Sun, Chaofan Yao, Hongyue Liu, Wang Wu, Jingchuan Duan. A method for detecting and pretreating boulders during shield tunneling in granite strata.</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2.Qixiang Yan, Haojia Zhong, Chuan Zhang, Zechang Zhao, Yanxin Wen, Ping Wang. Novel numerical model to simulate water seepage through segmental gasketed joints of underwater sheild tunnels considering the superimposed seepage squeezing effect.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3.Qixiang Yan, Wang Wu, Haojia Zhong, Zechang Zhao, Chuan Zhang. Temporal and spatial variation of temperature and displacement fileds throughout cross-passage artificial ground freezing.</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4.杨峥.液化地层对太原地铁区间隧道抗震性能影响分析.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5.董长明，邓厚雄，牛建明，李键伟.改建尖草坪桥（钢箱梁）施工关键技术探讨.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31" w:rightChars="-15" w:firstLine="0" w:firstLineChars="0"/>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6.李海锐，刘莹，李占林.浅析临近危旧建筑的明挖地铁车站施工技术</w:t>
            </w:r>
          </w:p>
        </w:tc>
        <w:tc>
          <w:tcPr>
            <w:tcW w:w="76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r>
              <w:rPr>
                <w:rFonts w:hint="eastAsia" w:ascii="仿宋" w:hAnsi="仿宋" w:eastAsia="仿宋" w:cs="仿宋"/>
                <w:bCs/>
                <w:sz w:val="18"/>
                <w:szCs w:val="18"/>
                <w:lang w:val="en-US" w:eastAsia="zh-CN"/>
              </w:rPr>
              <w:t>1</w:t>
            </w:r>
            <w:r>
              <w:rPr>
                <w:rFonts w:hint="eastAsia" w:cs="仿宋"/>
                <w:bCs/>
                <w:sz w:val="18"/>
                <w:szCs w:val="18"/>
                <w:lang w:val="en-US" w:eastAsia="zh-CN"/>
              </w:rPr>
              <w:t>.</w:t>
            </w:r>
            <w:r>
              <w:rPr>
                <w:rFonts w:hint="eastAsia" w:ascii="仿宋" w:hAnsi="仿宋" w:eastAsia="仿宋" w:cs="仿宋"/>
                <w:bCs/>
                <w:sz w:val="18"/>
                <w:szCs w:val="18"/>
              </w:rPr>
              <w:t>太原轨道交通集团有限公司</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r>
              <w:rPr>
                <w:rFonts w:hint="eastAsia" w:ascii="仿宋" w:hAnsi="仿宋" w:eastAsia="仿宋" w:cs="仿宋"/>
                <w:bCs/>
                <w:sz w:val="18"/>
                <w:szCs w:val="18"/>
                <w:lang w:val="en-US" w:eastAsia="zh-CN"/>
              </w:rPr>
              <w:t>2</w:t>
            </w:r>
            <w:r>
              <w:rPr>
                <w:rFonts w:hint="eastAsia" w:cs="仿宋"/>
                <w:bCs/>
                <w:sz w:val="18"/>
                <w:szCs w:val="18"/>
                <w:lang w:val="en-US" w:eastAsia="zh-CN"/>
              </w:rPr>
              <w:t>.</w:t>
            </w:r>
            <w:r>
              <w:rPr>
                <w:rFonts w:hint="eastAsia" w:ascii="仿宋" w:hAnsi="仿宋" w:eastAsia="仿宋" w:cs="仿宋"/>
                <w:bCs/>
                <w:sz w:val="18"/>
                <w:szCs w:val="18"/>
              </w:rPr>
              <w:t>中铁隆工程集团有限责任公司</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r>
              <w:rPr>
                <w:rFonts w:hint="eastAsia" w:ascii="仿宋" w:hAnsi="仿宋" w:eastAsia="仿宋" w:cs="仿宋"/>
                <w:bCs/>
                <w:sz w:val="18"/>
                <w:szCs w:val="18"/>
                <w:lang w:val="en-US" w:eastAsia="zh-CN"/>
              </w:rPr>
              <w:t>3</w:t>
            </w:r>
            <w:r>
              <w:rPr>
                <w:rFonts w:hint="eastAsia" w:cs="仿宋"/>
                <w:bCs/>
                <w:sz w:val="18"/>
                <w:szCs w:val="18"/>
                <w:lang w:val="en-US" w:eastAsia="zh-CN"/>
              </w:rPr>
              <w:t>.</w:t>
            </w:r>
            <w:r>
              <w:rPr>
                <w:rFonts w:hint="eastAsia" w:ascii="仿宋" w:hAnsi="仿宋" w:eastAsia="仿宋" w:cs="仿宋"/>
                <w:bCs/>
                <w:sz w:val="18"/>
                <w:szCs w:val="18"/>
              </w:rPr>
              <w:t>西南交通大学</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r>
              <w:rPr>
                <w:rFonts w:hint="eastAsia" w:ascii="仿宋" w:hAnsi="仿宋" w:eastAsia="仿宋" w:cs="仿宋"/>
                <w:bCs/>
                <w:sz w:val="18"/>
                <w:szCs w:val="18"/>
                <w:lang w:val="en-US" w:eastAsia="zh-CN"/>
              </w:rPr>
              <w:t>4</w:t>
            </w:r>
            <w:r>
              <w:rPr>
                <w:rFonts w:hint="eastAsia" w:cs="仿宋"/>
                <w:bCs/>
                <w:sz w:val="18"/>
                <w:szCs w:val="18"/>
                <w:lang w:val="en-US" w:eastAsia="zh-CN"/>
              </w:rPr>
              <w:t>.</w:t>
            </w:r>
            <w:r>
              <w:rPr>
                <w:rFonts w:hint="eastAsia" w:ascii="仿宋" w:hAnsi="仿宋" w:eastAsia="仿宋" w:cs="仿宋"/>
                <w:bCs/>
                <w:sz w:val="18"/>
                <w:szCs w:val="18"/>
              </w:rPr>
              <w:t>中国铁路设计集团有限公司</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r>
              <w:rPr>
                <w:rFonts w:hint="eastAsia" w:ascii="仿宋" w:hAnsi="仿宋" w:eastAsia="仿宋" w:cs="仿宋"/>
                <w:bCs/>
                <w:sz w:val="18"/>
                <w:szCs w:val="18"/>
                <w:lang w:val="en-US" w:eastAsia="zh-CN"/>
              </w:rPr>
              <w:t>5</w:t>
            </w:r>
            <w:r>
              <w:rPr>
                <w:rFonts w:hint="eastAsia" w:cs="仿宋"/>
                <w:bCs/>
                <w:sz w:val="18"/>
                <w:szCs w:val="18"/>
                <w:lang w:val="en-US" w:eastAsia="zh-CN"/>
              </w:rPr>
              <w:t>.</w:t>
            </w:r>
            <w:r>
              <w:rPr>
                <w:rFonts w:hint="eastAsia" w:ascii="仿宋" w:hAnsi="仿宋" w:eastAsia="仿宋" w:cs="仿宋"/>
                <w:bCs/>
                <w:sz w:val="18"/>
                <w:szCs w:val="18"/>
              </w:rPr>
              <w:t>四川国软科技集团有限公司</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Cs/>
                <w:sz w:val="18"/>
                <w:szCs w:val="18"/>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bCs/>
                <w:sz w:val="18"/>
                <w:szCs w:val="18"/>
                <w:lang w:val="en-US" w:eastAsia="zh-CN"/>
              </w:rPr>
              <w:t>6</w:t>
            </w:r>
            <w:r>
              <w:rPr>
                <w:rFonts w:hint="eastAsia" w:cs="仿宋"/>
                <w:bCs/>
                <w:sz w:val="18"/>
                <w:szCs w:val="18"/>
                <w:lang w:val="en-US" w:eastAsia="zh-CN"/>
              </w:rPr>
              <w:t>.</w:t>
            </w:r>
            <w:r>
              <w:rPr>
                <w:rFonts w:hint="eastAsia" w:ascii="仿宋" w:hAnsi="仿宋" w:eastAsia="仿宋" w:cs="仿宋"/>
                <w:bCs/>
                <w:sz w:val="18"/>
                <w:szCs w:val="18"/>
              </w:rPr>
              <w:t>成都云隆科技有限公司</w:t>
            </w:r>
          </w:p>
        </w:tc>
        <w:tc>
          <w:tcPr>
            <w:tcW w:w="84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sz w:val="18"/>
                <w:szCs w:val="18"/>
              </w:rPr>
              <w:t>丁</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睿、梁</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波、刘</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莹、董长明、杨</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峥、晏启祥、资斌全、李河山、董光坤、刘士林</w:t>
            </w:r>
          </w:p>
        </w:tc>
        <w:tc>
          <w:tcPr>
            <w:tcW w:w="51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zh-CN" w:eastAsia="zh-CN" w:bidi="zh-CN"/>
              </w:rPr>
            </w:pPr>
            <w:r>
              <w:rPr>
                <w:rFonts w:hint="eastAsia" w:ascii="仿宋" w:hAnsi="仿宋" w:eastAsia="仿宋" w:cs="仿宋"/>
                <w:color w:val="auto"/>
                <w:sz w:val="18"/>
                <w:szCs w:val="18"/>
                <w:lang w:eastAsia="zh-CN"/>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901" w:type="dxa"/>
            <w:vAlign w:val="center"/>
          </w:tcPr>
          <w:p>
            <w:pPr>
              <w:pStyle w:val="11"/>
              <w:spacing w:line="260" w:lineRule="exact"/>
              <w:ind w:left="-31" w:leftChars="-15" w:right="-31" w:rightChars="-15"/>
              <w:jc w:val="center"/>
              <w:rPr>
                <w:rFonts w:hint="eastAsia" w:ascii="仿宋" w:hAnsi="仿宋" w:eastAsia="仿宋" w:cs="仿宋"/>
                <w:color w:val="FF0000"/>
                <w:kern w:val="2"/>
                <w:sz w:val="18"/>
                <w:szCs w:val="18"/>
                <w:lang w:val="zh-CN" w:eastAsia="zh-CN" w:bidi="zh-CN"/>
              </w:rPr>
            </w:pPr>
            <w:r>
              <w:rPr>
                <w:rFonts w:hint="eastAsia" w:ascii="仿宋" w:hAnsi="仿宋" w:eastAsia="仿宋" w:cs="仿宋"/>
                <w:kern w:val="2"/>
                <w:sz w:val="18"/>
                <w:szCs w:val="18"/>
                <w:lang w:val="en-US" w:eastAsia="zh-CN" w:bidi="zh-CN"/>
              </w:rPr>
              <w:t>特种精密异型插齿刀关键技术研究及应用</w:t>
            </w:r>
          </w:p>
        </w:tc>
        <w:tc>
          <w:tcPr>
            <w:tcW w:w="2809" w:type="dxa"/>
            <w:vAlign w:val="center"/>
          </w:tcPr>
          <w:p>
            <w:pPr>
              <w:pStyle w:val="5"/>
              <w:keepNext w:val="0"/>
              <w:keepLines w:val="0"/>
              <w:pageBreakBefore w:val="0"/>
              <w:widowControl w:val="0"/>
              <w:kinsoku/>
              <w:wordWrap/>
              <w:overflowPunct/>
              <w:topLinePunct w:val="0"/>
              <w:autoSpaceDE/>
              <w:autoSpaceDN/>
              <w:bidi w:val="0"/>
              <w:adjustRightInd/>
              <w:snapToGrid/>
              <w:spacing w:line="260" w:lineRule="exact"/>
              <w:ind w:left="0" w:firstLine="360" w:firstLineChars="200"/>
              <w:jc w:val="both"/>
              <w:textAlignment w:val="auto"/>
              <w:rPr>
                <w:rFonts w:hint="eastAsia"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bidi="zh-CN"/>
              </w:rPr>
              <w:t>该项目研发带修缘凸角和倒角的插齿刀设计软件，包括直齿和斜齿两种，并扩展到链轮、同步带轮、矩形花键及滚插刀等异型插齿刀的研发设计。形成精密异型插齿刀系列产品，可生产加工带凸角、带修缘、带倒角齿形的剃前插齿刀，非渐开线齿轮插齿刀、链轮插齿刀、带轮插齿刀、摆线插齿刀、谐波插齿刀、硬齿面插齿刀等异型插齿刀新产品。工艺制造通过数控化、高精度的设备，缩短制造周期，大幅度提高精度等级，使齿轮刀具实现大的跨越和发展。</w:t>
            </w:r>
          </w:p>
          <w:p>
            <w:pPr>
              <w:pStyle w:val="5"/>
              <w:keepNext w:val="0"/>
              <w:keepLines w:val="0"/>
              <w:pageBreakBefore w:val="0"/>
              <w:widowControl w:val="0"/>
              <w:kinsoku/>
              <w:wordWrap/>
              <w:overflowPunct/>
              <w:topLinePunct w:val="0"/>
              <w:autoSpaceDE/>
              <w:autoSpaceDN/>
              <w:bidi w:val="0"/>
              <w:adjustRightInd/>
              <w:snapToGrid/>
              <w:spacing w:line="260" w:lineRule="exact"/>
              <w:ind w:left="0" w:firstLine="360" w:firstLineChars="200"/>
              <w:jc w:val="both"/>
              <w:textAlignment w:val="auto"/>
              <w:rPr>
                <w:rFonts w:hint="default" w:ascii="仿宋" w:hAnsi="仿宋" w:eastAsia="仿宋" w:cs="仿宋"/>
                <w:kern w:val="2"/>
                <w:sz w:val="18"/>
                <w:szCs w:val="18"/>
                <w:lang w:val="en-US" w:eastAsia="zh-CN" w:bidi="zh-CN"/>
              </w:rPr>
            </w:pPr>
            <w:r>
              <w:rPr>
                <w:rFonts w:hint="eastAsia" w:ascii="仿宋" w:hAnsi="仿宋" w:eastAsia="仿宋" w:cs="仿宋"/>
                <w:kern w:val="2"/>
                <w:sz w:val="18"/>
                <w:szCs w:val="18"/>
                <w:lang w:val="en-US" w:eastAsia="zh-CN" w:bidi="zh-CN"/>
              </w:rPr>
              <w:t>项目成果获授权实用新型专利2件、登记国家软件著作权4件，发表论文5篇。</w:t>
            </w:r>
          </w:p>
        </w:tc>
        <w:tc>
          <w:tcPr>
            <w:tcW w:w="1825" w:type="dxa"/>
            <w:vAlign w:val="center"/>
          </w:tcPr>
          <w:p>
            <w:pPr>
              <w:pStyle w:val="5"/>
              <w:keepNext w:val="0"/>
              <w:keepLines w:val="0"/>
              <w:pageBreakBefore w:val="0"/>
              <w:widowControl w:val="0"/>
              <w:kinsoku/>
              <w:wordWrap/>
              <w:overflowPunct/>
              <w:topLinePunct w:val="0"/>
              <w:autoSpaceDE/>
              <w:autoSpaceDN/>
              <w:bidi w:val="0"/>
              <w:adjustRightInd/>
              <w:snapToGrid/>
              <w:spacing w:line="260" w:lineRule="exact"/>
              <w:ind w:left="0" w:leftChars="0" w:firstLine="360" w:firstLineChars="200"/>
              <w:jc w:val="both"/>
              <w:textAlignment w:val="auto"/>
              <w:rPr>
                <w:rFonts w:hint="eastAsia" w:ascii="仿宋" w:hAnsi="仿宋" w:eastAsia="仿宋" w:cs="仿宋"/>
                <w:kern w:val="0"/>
                <w:sz w:val="18"/>
                <w:szCs w:val="18"/>
                <w:lang w:val="en-US" w:eastAsia="zh-CN" w:bidi="ar"/>
              </w:rPr>
            </w:pPr>
            <w:r>
              <w:rPr>
                <w:rFonts w:hint="eastAsia" w:ascii="仿宋" w:hAnsi="仿宋" w:eastAsia="仿宋" w:cs="仿宋"/>
                <w:kern w:val="2"/>
                <w:sz w:val="18"/>
                <w:szCs w:val="18"/>
                <w:lang w:val="en-US" w:eastAsia="zh-CN" w:bidi="zh-CN"/>
              </w:rPr>
              <w:t>应用于常州世界伟业链轮有限公司、浙江中益机械有限公司、石家庄凯普特动力传输机械有限责任公司在出口链轮加工。在内蒙古第一机械集团股份有限公司第四分公司、十堰同创传动技术有限公司、永业科技(唐山)有限公司、第一拖拉机股份有限公司、安阳桦炜齿轮有限责任公司、山东国众机械科技有限公司加工汽车、农机、工程机械等高精度齿轮及高精度内齿圈中应用。</w:t>
            </w:r>
          </w:p>
        </w:tc>
        <w:tc>
          <w:tcPr>
            <w:tcW w:w="5893" w:type="dxa"/>
            <w:vAlign w:val="center"/>
          </w:tcPr>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b/>
                <w:sz w:val="18"/>
                <w:szCs w:val="18"/>
                <w:lang w:val="en-US"/>
              </w:rPr>
              <w:t>实用新型专利</w:t>
            </w:r>
            <w:r>
              <w:rPr>
                <w:rFonts w:hint="eastAsia" w:ascii="仿宋" w:hAnsi="仿宋" w:eastAsia="仿宋" w:cs="仿宋"/>
                <w:sz w:val="18"/>
                <w:szCs w:val="18"/>
                <w:lang w:val="en-US"/>
              </w:rPr>
              <w:t>：</w:t>
            </w:r>
          </w:p>
          <w:p>
            <w:pPr>
              <w:pStyle w:val="11"/>
              <w:spacing w:line="260" w:lineRule="exact"/>
              <w:ind w:left="149" w:leftChars="-15" w:right="-31" w:rightChars="-15" w:hanging="180" w:hangingChars="100"/>
              <w:rPr>
                <w:rFonts w:hint="eastAsia" w:ascii="仿宋" w:hAnsi="仿宋" w:eastAsia="仿宋" w:cs="仿宋"/>
                <w:sz w:val="18"/>
                <w:szCs w:val="18"/>
                <w:lang w:val="en-US" w:eastAsia="zh-CN"/>
              </w:rPr>
            </w:pPr>
            <w:r>
              <w:rPr>
                <w:rFonts w:hint="eastAsia" w:ascii="仿宋" w:hAnsi="仿宋" w:eastAsia="仿宋" w:cs="仿宋"/>
                <w:sz w:val="18"/>
                <w:szCs w:val="18"/>
                <w:lang w:val="en-US"/>
              </w:rPr>
              <w:t>1.一种新型双切式滚刀</w:t>
            </w:r>
            <w:r>
              <w:rPr>
                <w:rFonts w:hint="eastAsia" w:ascii="仿宋" w:hAnsi="仿宋" w:eastAsia="仿宋" w:cs="仿宋"/>
                <w:sz w:val="18"/>
                <w:szCs w:val="18"/>
                <w:lang w:val="en-US" w:eastAsia="zh-CN"/>
              </w:rPr>
              <w:t>ZL202223608957.3</w:t>
            </w:r>
          </w:p>
          <w:p>
            <w:pPr>
              <w:pStyle w:val="11"/>
              <w:spacing w:line="260" w:lineRule="exact"/>
              <w:ind w:left="-31" w:leftChars="-15" w:right="-31" w:rightChars="-15"/>
              <w:rPr>
                <w:rFonts w:hint="eastAsia" w:ascii="仿宋" w:hAnsi="仿宋" w:eastAsia="仿宋" w:cs="仿宋"/>
                <w:sz w:val="18"/>
                <w:szCs w:val="18"/>
                <w:lang w:val="en-US" w:eastAsia="zh-CN"/>
              </w:rPr>
            </w:pPr>
            <w:r>
              <w:rPr>
                <w:rFonts w:hint="eastAsia" w:ascii="仿宋" w:hAnsi="仿宋" w:eastAsia="仿宋" w:cs="仿宋"/>
                <w:sz w:val="18"/>
                <w:szCs w:val="18"/>
                <w:lang w:val="en-US"/>
              </w:rPr>
              <w:t>2.滚插加工模拟实验教学装置</w:t>
            </w:r>
            <w:r>
              <w:rPr>
                <w:rFonts w:hint="eastAsia" w:ascii="仿宋" w:hAnsi="仿宋" w:eastAsia="仿宋" w:cs="仿宋"/>
                <w:sz w:val="18"/>
                <w:szCs w:val="18"/>
                <w:lang w:val="en-US" w:eastAsia="zh-CN"/>
              </w:rPr>
              <w:t>ZL202320777069.X</w:t>
            </w:r>
          </w:p>
          <w:p>
            <w:pPr>
              <w:pStyle w:val="11"/>
              <w:spacing w:line="260" w:lineRule="exact"/>
              <w:ind w:left="-31" w:leftChars="-15" w:right="-31" w:rightChars="-15"/>
              <w:rPr>
                <w:rFonts w:hint="eastAsia" w:ascii="仿宋" w:hAnsi="仿宋" w:eastAsia="仿宋" w:cs="仿宋"/>
                <w:sz w:val="18"/>
                <w:szCs w:val="18"/>
                <w:lang w:val="en-US"/>
              </w:rPr>
            </w:pPr>
          </w:p>
          <w:p>
            <w:pPr>
              <w:pStyle w:val="11"/>
              <w:keepNext w:val="0"/>
              <w:keepLines w:val="0"/>
              <w:pageBreakBefore w:val="0"/>
              <w:kinsoku/>
              <w:wordWrap/>
              <w:overflowPunct/>
              <w:topLinePunct w:val="0"/>
              <w:autoSpaceDE/>
              <w:autoSpaceDN/>
              <w:bidi w:val="0"/>
              <w:adjustRightInd/>
              <w:spacing w:line="200" w:lineRule="exact"/>
              <w:ind w:left="-31" w:leftChars="-15" w:right="-31" w:rightChars="-15"/>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软件著作权：</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1.插齿刀齿形设计系统V1.0</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软著登字第7119341号</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2.齿轮齿形修形及检验参数计算系统V1.0</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软著登字第7253891号</w:t>
            </w:r>
          </w:p>
          <w:p>
            <w:pPr>
              <w:pStyle w:val="11"/>
              <w:spacing w:line="260" w:lineRule="exact"/>
              <w:ind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3.齿轮刀具数据分析及加工软件V1.0</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软著登字第5881312号</w:t>
            </w:r>
          </w:p>
          <w:p>
            <w:pPr>
              <w:pStyle w:val="11"/>
              <w:spacing w:line="260" w:lineRule="exact"/>
              <w:ind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4.齿轮刀具数据采集信息分析管理系统V1.0</w:t>
            </w:r>
          </w:p>
          <w:p>
            <w:pPr>
              <w:pStyle w:val="11"/>
              <w:spacing w:line="260" w:lineRule="exact"/>
              <w:ind w:right="-31" w:rightChars="-15"/>
              <w:rPr>
                <w:rFonts w:hint="default" w:cs="仿宋"/>
                <w:sz w:val="18"/>
                <w:szCs w:val="18"/>
                <w:lang w:val="en-US" w:eastAsia="zh-CN"/>
              </w:rPr>
            </w:pPr>
            <w:r>
              <w:rPr>
                <w:rFonts w:hint="eastAsia" w:ascii="仿宋" w:hAnsi="仿宋" w:eastAsia="仿宋" w:cs="仿宋"/>
                <w:sz w:val="18"/>
                <w:szCs w:val="18"/>
                <w:lang w:val="en-US"/>
              </w:rPr>
              <w:t>软著登字第5832927号</w:t>
            </w:r>
          </w:p>
        </w:tc>
        <w:tc>
          <w:tcPr>
            <w:tcW w:w="769" w:type="dxa"/>
            <w:vAlign w:val="center"/>
          </w:tcPr>
          <w:p>
            <w:pPr>
              <w:pStyle w:val="11"/>
              <w:spacing w:line="260" w:lineRule="exact"/>
              <w:ind w:left="-31" w:leftChars="-15" w:right="-31" w:rightChars="-15"/>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太原工具厂有限责任公司</w:t>
            </w:r>
          </w:p>
          <w:p>
            <w:pPr>
              <w:pStyle w:val="11"/>
              <w:spacing w:line="260" w:lineRule="exact"/>
              <w:ind w:left="-31" w:leftChars="-15" w:right="-31" w:rightChars="-15"/>
              <w:rPr>
                <w:rFonts w:hint="eastAsia" w:ascii="仿宋" w:hAnsi="仿宋" w:eastAsia="仿宋" w:cs="仿宋"/>
                <w:sz w:val="18"/>
                <w:szCs w:val="18"/>
              </w:rPr>
            </w:pPr>
          </w:p>
          <w:p>
            <w:pPr>
              <w:pStyle w:val="11"/>
              <w:spacing w:line="260" w:lineRule="exact"/>
              <w:ind w:left="-31" w:leftChars="-15" w:right="-31" w:rightChars="-15"/>
              <w:rPr>
                <w:rFonts w:hint="eastAsia" w:ascii="仿宋" w:hAnsi="仿宋" w:eastAsia="仿宋" w:cs="仿宋"/>
                <w:color w:val="FF0000"/>
                <w:kern w:val="2"/>
                <w:sz w:val="18"/>
                <w:szCs w:val="18"/>
                <w:lang w:val="en-US" w:eastAsia="zh-CN" w:bidi="zh-CN"/>
              </w:rPr>
            </w:pPr>
            <w:r>
              <w:rPr>
                <w:rFonts w:hint="eastAsia" w:ascii="仿宋" w:hAnsi="仿宋" w:eastAsia="仿宋" w:cs="仿宋"/>
                <w:sz w:val="18"/>
                <w:szCs w:val="18"/>
                <w:lang w:val="en-US" w:eastAsia="zh-CN"/>
              </w:rPr>
              <w:t>2.</w:t>
            </w:r>
            <w:r>
              <w:rPr>
                <w:rFonts w:hint="eastAsia" w:ascii="仿宋" w:hAnsi="仿宋" w:eastAsia="仿宋" w:cs="仿宋"/>
                <w:sz w:val="18"/>
                <w:szCs w:val="18"/>
              </w:rPr>
              <w:t>太原理工大学</w:t>
            </w:r>
          </w:p>
        </w:tc>
        <w:tc>
          <w:tcPr>
            <w:tcW w:w="843" w:type="dxa"/>
            <w:vAlign w:val="center"/>
          </w:tcPr>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王建中、</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王永红、</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张红燕、</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商姣刚、</w:t>
            </w:r>
          </w:p>
          <w:p>
            <w:pPr>
              <w:pStyle w:val="11"/>
              <w:spacing w:line="260" w:lineRule="exact"/>
              <w:ind w:left="-31" w:leftChars="-15" w:right="-31" w:rightChars="-15"/>
              <w:rPr>
                <w:rFonts w:hint="eastAsia" w:ascii="仿宋" w:hAnsi="仿宋" w:eastAsia="仿宋" w:cs="仿宋"/>
                <w:sz w:val="18"/>
                <w:szCs w:val="18"/>
                <w:lang w:val="en-US"/>
              </w:rPr>
            </w:pPr>
            <w:r>
              <w:rPr>
                <w:rFonts w:hint="eastAsia" w:ascii="仿宋" w:hAnsi="仿宋" w:eastAsia="仿宋" w:cs="仿宋"/>
                <w:sz w:val="18"/>
                <w:szCs w:val="18"/>
                <w:lang w:val="en-US"/>
              </w:rPr>
              <w:t>范建权、</w:t>
            </w:r>
          </w:p>
          <w:p>
            <w:pPr>
              <w:pStyle w:val="11"/>
              <w:spacing w:line="260" w:lineRule="exact"/>
              <w:ind w:left="-31" w:leftChars="-15" w:right="-31" w:rightChars="-15"/>
              <w:rPr>
                <w:rFonts w:hint="eastAsia" w:ascii="仿宋" w:hAnsi="仿宋" w:eastAsia="仿宋" w:cs="仿宋"/>
                <w:kern w:val="2"/>
                <w:sz w:val="18"/>
                <w:szCs w:val="18"/>
                <w:lang w:val="en-US" w:eastAsia="zh-CN" w:bidi="zh-CN"/>
              </w:rPr>
            </w:pPr>
            <w:r>
              <w:rPr>
                <w:rFonts w:hint="eastAsia" w:ascii="仿宋" w:hAnsi="仿宋" w:eastAsia="仿宋" w:cs="仿宋"/>
                <w:sz w:val="18"/>
                <w:szCs w:val="18"/>
                <w:lang w:val="en-US"/>
              </w:rPr>
              <w:t>王时英</w:t>
            </w:r>
          </w:p>
        </w:tc>
        <w:tc>
          <w:tcPr>
            <w:tcW w:w="515" w:type="dxa"/>
            <w:vAlign w:val="center"/>
          </w:tcPr>
          <w:p>
            <w:pPr>
              <w:pStyle w:val="11"/>
              <w:spacing w:line="260" w:lineRule="exact"/>
              <w:ind w:left="-31" w:leftChars="-15" w:right="-31" w:rightChars="-15"/>
              <w:rPr>
                <w:rFonts w:hint="eastAsia" w:ascii="仿宋" w:hAnsi="仿宋" w:eastAsia="仿宋" w:cs="仿宋"/>
                <w:color w:val="FF0000"/>
                <w:kern w:val="2"/>
                <w:sz w:val="18"/>
                <w:szCs w:val="18"/>
                <w:lang w:val="zh-CN" w:eastAsia="zh-CN" w:bidi="zh-CN"/>
              </w:rPr>
            </w:pPr>
            <w:r>
              <w:rPr>
                <w:rFonts w:hint="eastAsia" w:ascii="仿宋" w:hAnsi="仿宋" w:eastAsia="仿宋" w:cs="仿宋"/>
                <w:color w:val="auto"/>
                <w:sz w:val="18"/>
                <w:szCs w:val="18"/>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901"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eastAsia="zh-CN"/>
              </w:rPr>
              <w:t>路用水性环氧树脂复合材料开发及应用研究</w:t>
            </w:r>
          </w:p>
        </w:tc>
        <w:tc>
          <w:tcPr>
            <w:tcW w:w="280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通过聚合物改性增加了环氧树脂的柔性以及对基材的粘结强度，提高了环氧树脂整体的耐磨损，抗老化性能，</w:t>
            </w:r>
            <w:r>
              <w:rPr>
                <w:rFonts w:hint="eastAsia" w:cs="仿宋"/>
                <w:color w:val="auto"/>
                <w:sz w:val="18"/>
                <w:szCs w:val="18"/>
                <w:lang w:eastAsia="zh-CN"/>
              </w:rPr>
              <w:t>开发</w:t>
            </w:r>
            <w:r>
              <w:rPr>
                <w:rFonts w:hint="eastAsia" w:ascii="仿宋" w:hAnsi="仿宋" w:eastAsia="仿宋" w:cs="仿宋"/>
                <w:color w:val="auto"/>
                <w:sz w:val="18"/>
                <w:szCs w:val="18"/>
                <w:lang w:eastAsia="zh-CN"/>
              </w:rPr>
              <w:t>了路面水性环氧封层材料和路面水性环氧彩色封层材料。</w:t>
            </w:r>
            <w:r>
              <w:rPr>
                <w:rFonts w:hint="eastAsia" w:ascii="仿宋" w:hAnsi="仿宋" w:eastAsia="仿宋" w:cs="仿宋"/>
                <w:color w:val="auto"/>
                <w:sz w:val="18"/>
                <w:szCs w:val="18"/>
                <w:lang w:val="en-US" w:eastAsia="zh-CN"/>
              </w:rPr>
              <w:t>封层材料粘度较小，流动渗透性好，与路面粘结性强，操作过程易于控制，且无毒无味，对环境无污染，对人体无伤害，封层后固化层具有耐水、耐候、耐溶剂、耐盐蚀、抗剥离、抗滑、耐磨等良好性能，可完全防止雨水对路基的进一步损坏，对路基起到了极佳的保护作用，路面安全美观，行车舒适。</w:t>
            </w:r>
            <w:r>
              <w:rPr>
                <w:rFonts w:hint="eastAsia" w:cs="仿宋"/>
                <w:color w:val="auto"/>
                <w:sz w:val="18"/>
                <w:szCs w:val="18"/>
                <w:lang w:val="en-US" w:eastAsia="zh-CN"/>
              </w:rPr>
              <w:t>可</w:t>
            </w:r>
            <w:r>
              <w:rPr>
                <w:rFonts w:hint="eastAsia" w:ascii="仿宋" w:hAnsi="仿宋" w:eastAsia="仿宋" w:cs="仿宋"/>
                <w:color w:val="auto"/>
                <w:sz w:val="18"/>
                <w:szCs w:val="18"/>
                <w:lang w:eastAsia="zh-CN"/>
              </w:rPr>
              <w:t>机械化施工，效率高，质量统一，单台车每车次作业面积5000～7000㎡。该技术可应用于城市道路、高速公路的美化及养护。</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kern w:val="2"/>
                <w:sz w:val="18"/>
                <w:szCs w:val="18"/>
                <w:lang w:val="en-US" w:eastAsia="zh-CN" w:bidi="zh-CN"/>
              </w:rPr>
            </w:pPr>
            <w:r>
              <w:rPr>
                <w:rFonts w:hint="eastAsia" w:cs="仿宋"/>
                <w:color w:val="auto"/>
                <w:sz w:val="18"/>
                <w:szCs w:val="18"/>
                <w:lang w:eastAsia="zh-CN"/>
              </w:rPr>
              <w:t>在路用水性环氧树脂材料的系统开发与应用方面达到了国际先进水平。</w:t>
            </w:r>
          </w:p>
        </w:tc>
        <w:tc>
          <w:tcPr>
            <w:tcW w:w="182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路面水性环氧封层已应用于包括山西省忻保高速、祁临高速福建浦城国道、福建建瓯国道、太原市太太路等多个项目，累计施工面积约35万㎡；路面水性环氧彩色封层已应用于太原植物园、太原市双塔寺公园、汾阳文湖景区等内部景观道路美化，太原汾河自行车道彩色化，深圳市南山区沿山路美化等多个项目，累计施工面积约33万㎡。</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施工后路面的整体抗水损能力和抗滑性能大大提高，且施工过程无溶剂挥发，环保效益良好，受到了客户的一致好评。</w:t>
            </w:r>
          </w:p>
        </w:tc>
        <w:tc>
          <w:tcPr>
            <w:tcW w:w="589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发明专利：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1.一种用于道路的抗滑封层复合材料及其制备方法                        ZL201810834252.2</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180" w:firstLineChars="100"/>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cs="仿宋"/>
                <w:b/>
                <w:bCs/>
                <w:color w:val="auto"/>
                <w:sz w:val="18"/>
                <w:szCs w:val="18"/>
                <w:lang w:eastAsia="zh-CN"/>
              </w:rPr>
              <w:t>学术</w:t>
            </w:r>
            <w:r>
              <w:rPr>
                <w:rFonts w:hint="eastAsia" w:ascii="仿宋" w:hAnsi="仿宋" w:eastAsia="仿宋" w:cs="仿宋"/>
                <w:b/>
                <w:bCs/>
                <w:color w:val="auto"/>
                <w:sz w:val="18"/>
                <w:szCs w:val="18"/>
                <w:lang w:eastAsia="zh-CN"/>
              </w:rPr>
              <w:t>论文：</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w:t>
            </w:r>
            <w:r>
              <w:rPr>
                <w:rFonts w:hint="eastAsia" w:ascii="仿宋" w:hAnsi="仿宋" w:eastAsia="仿宋" w:cs="仿宋"/>
                <w:color w:val="auto"/>
                <w:sz w:val="18"/>
                <w:szCs w:val="18"/>
                <w:lang w:val="en-US" w:eastAsia="zh-CN"/>
              </w:rPr>
              <w:t>.陈峰阳、张海舰、张井亮、杨子俊、高俊亮、姚亮、李万捷</w:t>
            </w:r>
            <w:r>
              <w:rPr>
                <w:rFonts w:hint="eastAsia" w:cs="仿宋"/>
                <w:color w:val="auto"/>
                <w:sz w:val="18"/>
                <w:szCs w:val="18"/>
                <w:lang w:val="en-US" w:eastAsia="zh-CN"/>
              </w:rPr>
              <w:t>.</w:t>
            </w:r>
            <w:r>
              <w:rPr>
                <w:rFonts w:hint="eastAsia" w:ascii="仿宋" w:hAnsi="仿宋" w:eastAsia="仿宋" w:cs="仿宋"/>
                <w:color w:val="auto"/>
                <w:sz w:val="18"/>
                <w:szCs w:val="18"/>
                <w:lang w:val="en-US" w:eastAsia="zh-CN"/>
              </w:rPr>
              <w:t>水性环氧树脂改性乳化沥青的研究及应用</w:t>
            </w:r>
            <w:r>
              <w:rPr>
                <w:rFonts w:hint="eastAsia" w:cs="仿宋"/>
                <w:color w:val="auto"/>
                <w:sz w:val="18"/>
                <w:szCs w:val="18"/>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企业标准：</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1.公路路面水性彩色防滑面层材料Q/140108TYLB006-2020</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2.公路路面水性环氧沥青面层技术规程Q/140108TYLB007-2020</w:t>
            </w:r>
          </w:p>
        </w:tc>
        <w:tc>
          <w:tcPr>
            <w:tcW w:w="76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太原市路邦科技</w:t>
            </w:r>
            <w:r>
              <w:rPr>
                <w:rFonts w:hint="eastAsia" w:ascii="仿宋" w:hAnsi="仿宋" w:eastAsia="仿宋" w:cs="仿宋"/>
                <w:color w:val="auto"/>
                <w:sz w:val="18"/>
                <w:szCs w:val="18"/>
                <w:lang w:eastAsia="zh-CN"/>
              </w:rPr>
              <w:t>有限公司</w:t>
            </w:r>
          </w:p>
        </w:tc>
        <w:tc>
          <w:tcPr>
            <w:tcW w:w="84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王改敬、</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陈峰阳、</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张海舰、</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张井亮、</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杨子俊、</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姚  亮、</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高俊亮、</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丛国清</w:t>
            </w:r>
          </w:p>
        </w:tc>
        <w:tc>
          <w:tcPr>
            <w:tcW w:w="51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lang w:eastAsia="zh-CN"/>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901"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lang w:eastAsia="zh-CN"/>
              </w:rPr>
              <w:t>道路长寿命低碳净味柔性铺装多彩导视罩面系统开发与标准化应用</w:t>
            </w:r>
          </w:p>
        </w:tc>
        <w:tc>
          <w:tcPr>
            <w:tcW w:w="280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sz w:val="18"/>
                <w:szCs w:val="18"/>
                <w:lang w:val="en-US" w:eastAsia="zh-CN"/>
              </w:rPr>
            </w:pPr>
            <w:r>
              <w:rPr>
                <w:rFonts w:hint="eastAsia" w:cs="仿宋"/>
                <w:color w:val="auto"/>
                <w:sz w:val="18"/>
                <w:szCs w:val="18"/>
                <w:lang w:val="en-US" w:eastAsia="zh-CN"/>
              </w:rPr>
              <w:t>项目</w:t>
            </w:r>
            <w:r>
              <w:rPr>
                <w:rFonts w:hint="eastAsia" w:ascii="仿宋" w:hAnsi="仿宋" w:eastAsia="仿宋" w:cs="仿宋"/>
                <w:color w:val="auto"/>
                <w:sz w:val="18"/>
                <w:szCs w:val="18"/>
                <w:lang w:val="en-US" w:eastAsia="zh-CN"/>
              </w:rPr>
              <w:t>制备</w:t>
            </w:r>
            <w:r>
              <w:rPr>
                <w:rFonts w:hint="eastAsia" w:cs="仿宋"/>
                <w:color w:val="auto"/>
                <w:sz w:val="18"/>
                <w:szCs w:val="18"/>
                <w:lang w:val="en-US" w:eastAsia="zh-CN"/>
              </w:rPr>
              <w:t>的</w:t>
            </w:r>
            <w:r>
              <w:rPr>
                <w:rFonts w:hint="eastAsia" w:ascii="仿宋" w:hAnsi="仿宋" w:eastAsia="仿宋" w:cs="仿宋"/>
                <w:color w:val="auto"/>
                <w:sz w:val="18"/>
                <w:szCs w:val="18"/>
                <w:lang w:val="en-US" w:eastAsia="zh-CN"/>
              </w:rPr>
              <w:t>彩色高分子稀浆混合料，经过国家建筑材料测试中心权威系统检测，性能优于国内外同类彩色沥青和高聚物类路面彩色防滑涂料产品。采用水性低碳工艺每吨可节约1.25×10</w:t>
            </w:r>
            <w:r>
              <w:rPr>
                <w:rFonts w:hint="eastAsia" w:ascii="仿宋" w:hAnsi="仿宋" w:eastAsia="仿宋" w:cs="仿宋"/>
                <w:color w:val="auto"/>
                <w:sz w:val="18"/>
                <w:szCs w:val="18"/>
                <w:vertAlign w:val="superscript"/>
                <w:lang w:val="en-US" w:eastAsia="zh-CN"/>
              </w:rPr>
              <w:t>5</w:t>
            </w:r>
            <w:r>
              <w:rPr>
                <w:rFonts w:hint="eastAsia" w:ascii="仿宋" w:hAnsi="仿宋" w:eastAsia="仿宋" w:cs="仿宋"/>
                <w:color w:val="auto"/>
                <w:sz w:val="18"/>
                <w:szCs w:val="18"/>
                <w:lang w:val="en-US" w:eastAsia="zh-CN"/>
              </w:rPr>
              <w:t>-1.45×10</w:t>
            </w:r>
            <w:r>
              <w:rPr>
                <w:rFonts w:hint="eastAsia" w:ascii="仿宋" w:hAnsi="仿宋" w:eastAsia="仿宋" w:cs="仿宋"/>
                <w:color w:val="auto"/>
                <w:sz w:val="18"/>
                <w:szCs w:val="18"/>
                <w:vertAlign w:val="superscript"/>
                <w:lang w:val="en-US" w:eastAsia="zh-CN"/>
              </w:rPr>
              <w:t>5</w:t>
            </w:r>
            <w:r>
              <w:rPr>
                <w:rFonts w:hint="eastAsia" w:ascii="仿宋" w:hAnsi="仿宋" w:eastAsia="仿宋" w:cs="仿宋"/>
                <w:color w:val="auto"/>
                <w:sz w:val="18"/>
                <w:szCs w:val="18"/>
                <w:lang w:val="en-US" w:eastAsia="zh-CN"/>
              </w:rPr>
              <w:t>kJ能量，彩色级配骨料中工业固废和天然彩石边角废料占比约65%，实现变废为宝，大幅降低碳排放。</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研究成果通过山西省住建厅科技成果鉴定，入选了山西省发改委、山西省科技厅、山西省工信厅、山西省财政厅和山西转型综改示范区共同发布的《2021年创新产品和服务推荐清单》。</w:t>
            </w:r>
          </w:p>
        </w:tc>
        <w:tc>
          <w:tcPr>
            <w:tcW w:w="182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firstLine="360" w:firstLineChars="200"/>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已经在海南、安徽、黑龙江等全国二十多个省市使用，累计240万平米，累计产值达2.4亿元，上缴利税达4500万。</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firstLine="360" w:firstLineChars="200"/>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2019年在第二届全国青年运动会、“环太原”国际公路自行车赛和创建全国文明城市中提升了城市品质形象，在雄安新区荣乌和京德高速公路服务区彩色路面导视系统应用，成为全国公路服务区提质升级示范性项目。</w:t>
            </w:r>
          </w:p>
        </w:tc>
        <w:tc>
          <w:tcPr>
            <w:tcW w:w="589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发明专利：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1.（1→3）-β-D-葡聚糖作为乳液稳定剂的用途             ZL200980116405.9</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2.</w:t>
            </w:r>
            <w:r>
              <w:rPr>
                <w:rFonts w:hint="eastAsia" w:ascii="仿宋" w:hAnsi="仿宋" w:eastAsia="仿宋" w:cs="仿宋"/>
                <w:color w:val="auto"/>
                <w:sz w:val="18"/>
                <w:szCs w:val="18"/>
                <w:lang w:val="en-US" w:eastAsia="zh-CN"/>
              </w:rPr>
              <w:t>一种热反射型高分子复合改性彩色乳化沥青及其混合料  ZL201310665692.7</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3.</w:t>
            </w:r>
            <w:r>
              <w:rPr>
                <w:rFonts w:hint="eastAsia" w:ascii="仿宋" w:hAnsi="仿宋" w:eastAsia="仿宋" w:cs="仿宋"/>
                <w:color w:val="auto"/>
                <w:sz w:val="18"/>
                <w:szCs w:val="18"/>
                <w:lang w:val="en-US" w:eastAsia="zh-CN"/>
              </w:rPr>
              <w:t>一种免烧废渣砖及其制备方法ZL201711458393.0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4.</w:t>
            </w:r>
            <w:r>
              <w:rPr>
                <w:rFonts w:hint="eastAsia" w:ascii="仿宋" w:hAnsi="仿宋" w:eastAsia="仿宋" w:cs="仿宋"/>
                <w:color w:val="auto"/>
                <w:sz w:val="18"/>
                <w:szCs w:val="18"/>
                <w:lang w:val="en-US" w:eastAsia="zh-CN"/>
              </w:rPr>
              <w:t>一种高性能彩色胶结料及其制备方法ZL202010750561.9</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5.</w:t>
            </w:r>
            <w:r>
              <w:rPr>
                <w:rFonts w:hint="eastAsia" w:ascii="仿宋" w:hAnsi="仿宋" w:eastAsia="仿宋" w:cs="仿宋"/>
                <w:color w:val="auto"/>
                <w:sz w:val="18"/>
                <w:szCs w:val="18"/>
                <w:lang w:val="en-US" w:eastAsia="zh-CN"/>
              </w:rPr>
              <w:t>一种人造彩砂及其制备方法ZL201610124342.3</w:t>
            </w:r>
          </w:p>
          <w:p>
            <w:pPr>
              <w:pStyle w:val="11"/>
              <w:keepNext w:val="0"/>
              <w:keepLines w:val="0"/>
              <w:pageBreakBefore w:val="0"/>
              <w:widowControl w:val="0"/>
              <w:numPr>
                <w:ilvl w:val="0"/>
                <w:numId w:val="0"/>
              </w:numPr>
              <w:tabs>
                <w:tab w:val="center" w:pos="1956"/>
              </w:tabs>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实用新型专利：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w:t>
            </w:r>
            <w:r>
              <w:rPr>
                <w:rFonts w:hint="eastAsia" w:ascii="仿宋" w:hAnsi="仿宋" w:eastAsia="仿宋" w:cs="仿宋"/>
                <w:color w:val="auto"/>
                <w:sz w:val="18"/>
                <w:szCs w:val="18"/>
                <w:lang w:val="en-US" w:eastAsia="zh-CN"/>
              </w:rPr>
              <w:t>.一种可流动树脂混合料刮涂工具ZL201720081009.9</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2.</w:t>
            </w:r>
            <w:r>
              <w:rPr>
                <w:rFonts w:hint="eastAsia" w:ascii="仿宋" w:hAnsi="仿宋" w:eastAsia="仿宋" w:cs="仿宋"/>
                <w:color w:val="auto"/>
                <w:sz w:val="18"/>
                <w:szCs w:val="18"/>
                <w:lang w:val="en-US" w:eastAsia="zh-CN"/>
              </w:rPr>
              <w:t>干混砂浆生产线颜料添加装置ZL201720081010.1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软件著作权：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1.</w:t>
            </w:r>
            <w:r>
              <w:rPr>
                <w:rFonts w:hint="eastAsia" w:ascii="仿宋" w:hAnsi="仿宋" w:eastAsia="仿宋" w:cs="仿宋"/>
                <w:color w:val="auto"/>
                <w:sz w:val="18"/>
                <w:szCs w:val="18"/>
                <w:lang w:val="en-US" w:eastAsia="zh-CN"/>
              </w:rPr>
              <w:t>彩色沥青沥青生产过程自动控制系统V1.0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软著登字第5344141号</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2.彩色沥青脱硫监控系统V1.0</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软著登字第5345411号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3.</w:t>
            </w:r>
            <w:r>
              <w:rPr>
                <w:rFonts w:hint="eastAsia" w:ascii="仿宋" w:hAnsi="仿宋" w:eastAsia="仿宋" w:cs="仿宋"/>
                <w:color w:val="auto"/>
                <w:sz w:val="18"/>
                <w:szCs w:val="18"/>
                <w:lang w:val="en-US" w:eastAsia="zh-CN"/>
              </w:rPr>
              <w:t>彩色沥青生产过程温度控制系统V1.0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软著登字第5350322号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31" w:rightChars="-15" w:firstLine="0" w:firstLineChars="0"/>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zh-CN"/>
              </w:rPr>
              <w:t>4.</w:t>
            </w:r>
            <w:r>
              <w:rPr>
                <w:rFonts w:hint="eastAsia" w:ascii="仿宋" w:hAnsi="仿宋" w:eastAsia="仿宋" w:cs="仿宋"/>
                <w:color w:val="auto"/>
                <w:sz w:val="18"/>
                <w:szCs w:val="18"/>
                <w:lang w:val="en-US" w:eastAsia="zh-CN"/>
              </w:rPr>
              <w:t>高粘乳化沥青生产工艺管理系统V1.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31" w:rightChars="-15" w:firstLine="0" w:firstLineChars="0"/>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软著登字第5344620号</w:t>
            </w:r>
          </w:p>
        </w:tc>
        <w:tc>
          <w:tcPr>
            <w:tcW w:w="76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cs="仿宋"/>
                <w:color w:val="auto"/>
                <w:sz w:val="18"/>
                <w:szCs w:val="18"/>
                <w:lang w:val="en-US" w:eastAsia="zh-CN"/>
              </w:rPr>
              <w:t>1.</w:t>
            </w:r>
            <w:r>
              <w:rPr>
                <w:rFonts w:hint="eastAsia" w:ascii="仿宋" w:hAnsi="仿宋" w:eastAsia="仿宋" w:cs="仿宋"/>
                <w:color w:val="auto"/>
                <w:sz w:val="18"/>
                <w:szCs w:val="18"/>
                <w:lang w:val="en-US" w:eastAsia="zh-CN"/>
              </w:rPr>
              <w:t>喜跃发国际环保新材料股份有限公司</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cs="仿宋"/>
                <w:color w:val="auto"/>
                <w:sz w:val="18"/>
                <w:szCs w:val="18"/>
                <w:lang w:val="en-US" w:eastAsia="zh-CN"/>
              </w:rPr>
              <w:t>2.</w:t>
            </w:r>
            <w:r>
              <w:rPr>
                <w:rFonts w:hint="eastAsia" w:ascii="仿宋" w:hAnsi="仿宋" w:eastAsia="仿宋" w:cs="仿宋"/>
                <w:color w:val="auto"/>
                <w:sz w:val="18"/>
                <w:szCs w:val="18"/>
                <w:lang w:val="en-US" w:eastAsia="zh-CN"/>
              </w:rPr>
              <w:t>山西大学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kern w:val="2"/>
                <w:sz w:val="18"/>
                <w:szCs w:val="18"/>
                <w:lang w:val="en-US" w:eastAsia="zh-CN" w:bidi="zh-CN"/>
              </w:rPr>
            </w:pPr>
            <w:r>
              <w:rPr>
                <w:rFonts w:hint="eastAsia" w:cs="仿宋"/>
                <w:color w:val="auto"/>
                <w:sz w:val="18"/>
                <w:szCs w:val="18"/>
                <w:lang w:val="en-US" w:eastAsia="zh-CN"/>
              </w:rPr>
              <w:t>3.</w:t>
            </w:r>
            <w:r>
              <w:rPr>
                <w:rFonts w:hint="eastAsia" w:ascii="仿宋" w:hAnsi="仿宋" w:eastAsia="仿宋" w:cs="仿宋"/>
                <w:color w:val="auto"/>
                <w:sz w:val="18"/>
                <w:szCs w:val="18"/>
                <w:lang w:val="en-US" w:eastAsia="zh-CN"/>
              </w:rPr>
              <w:t>山西喜跃发道路建设养护集团有限公司</w:t>
            </w:r>
          </w:p>
        </w:tc>
        <w:tc>
          <w:tcPr>
            <w:tcW w:w="84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赵永飞</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刘晓斌</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高宏宇</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金  芳</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宋振华</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王  飞</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苏慧敏</w:t>
            </w:r>
            <w:r>
              <w:rPr>
                <w:rFonts w:hint="eastAsia" w:ascii="仿宋" w:hAnsi="仿宋" w:eastAsia="仿宋" w:cs="仿宋"/>
                <w:color w:val="auto"/>
                <w:sz w:val="18"/>
                <w:szCs w:val="18"/>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石够云</w:t>
            </w:r>
          </w:p>
        </w:tc>
        <w:tc>
          <w:tcPr>
            <w:tcW w:w="51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lang w:eastAsia="zh-CN"/>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901"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zh-CN" w:eastAsia="zh-CN" w:bidi="zh-CN"/>
              </w:rPr>
            </w:pPr>
            <w:r>
              <w:rPr>
                <w:rFonts w:hint="eastAsia" w:ascii="仿宋" w:hAnsi="仿宋" w:eastAsia="仿宋" w:cs="仿宋"/>
                <w:color w:val="auto"/>
                <w:sz w:val="18"/>
                <w:szCs w:val="18"/>
                <w:lang w:eastAsia="zh-CN"/>
              </w:rPr>
              <w:t>一种基于回风换热的乏风源热泵井筒防冻系统</w:t>
            </w:r>
          </w:p>
        </w:tc>
        <w:tc>
          <w:tcPr>
            <w:tcW w:w="280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color w:val="auto"/>
                <w:sz w:val="18"/>
                <w:szCs w:val="18"/>
                <w:lang w:val="en-US" w:eastAsia="zh-CN"/>
              </w:rPr>
              <w:t>多热源联网供热模式，通过提取矿井回风、空压机（制氮空压机）、瓦斯抽采泵站冷却水余热作为主要热源，采用直接换热和热泵提取相结合方式最大限度满足工业场地采暖季井筒防冻、建筑供暖需求，完全替代原有燃煤热水锅炉和燃煤热风炉。</w:t>
            </w:r>
          </w:p>
        </w:tc>
        <w:tc>
          <w:tcPr>
            <w:tcW w:w="182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firstLine="360" w:firstLineChars="200"/>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color w:val="auto"/>
                <w:sz w:val="18"/>
                <w:szCs w:val="18"/>
                <w:lang w:val="en-US" w:eastAsia="zh-CN"/>
              </w:rPr>
              <w:t>应用于晋能控股塔山煤矿二风井原有燃煤锅炉供热改造</w:t>
            </w:r>
            <w:r>
              <w:rPr>
                <w:rFonts w:hint="eastAsia" w:cs="仿宋"/>
                <w:color w:val="auto"/>
                <w:sz w:val="18"/>
                <w:szCs w:val="18"/>
                <w:lang w:val="en-US" w:eastAsia="zh-CN"/>
              </w:rPr>
              <w:t>，</w:t>
            </w:r>
            <w:r>
              <w:rPr>
                <w:rFonts w:hint="eastAsia" w:ascii="仿宋" w:hAnsi="仿宋" w:eastAsia="仿宋" w:cs="仿宋"/>
                <w:color w:val="auto"/>
                <w:sz w:val="18"/>
                <w:szCs w:val="18"/>
                <w:lang w:val="en-US" w:eastAsia="zh-CN"/>
              </w:rPr>
              <w:t>符合塔山矿主通风机结构、工业广场布局、乏风温度、大供风热负荷的需要。采暖季同比节省标煤量3013.38吨，同时减排大量的二氧化碳、二氧化硫、氮氧化物等。该项目的成功实施，为同类型矿井燃煤锅炉更新改造，实现“减污降碳协同增效”，提供了典型示范。</w:t>
            </w:r>
          </w:p>
        </w:tc>
        <w:tc>
          <w:tcPr>
            <w:tcW w:w="589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发明专利：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一种基于乏风源热泵的井筒防冻系统</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ZL201611062912.7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实用新型专利：</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一种基于回风换热的乏风源热泵井筒防冻系统</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ZL201820362248.6</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一种基于回风余热梯度利用的乏风源热泵井筒防冻系统</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lang w:eastAsia="zh-CN"/>
              </w:rPr>
              <w:t>ZL201921727437.X</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i w:val="0"/>
                <w:iCs w:val="0"/>
                <w:caps w:val="0"/>
                <w:color w:val="333333"/>
                <w:spacing w:val="0"/>
                <w:sz w:val="20"/>
                <w:szCs w:val="20"/>
                <w:shd w:val="clear" w:fill="FFFFFF"/>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一种基于直接换热式热能回收的井筒防冻系统</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ZL202020251084.7</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一种回风余热梯度利用的井筒防冻系统</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ZL202020251494.1</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sz w:val="18"/>
                <w:szCs w:val="18"/>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软件著作权：</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r>
              <w:rPr>
                <w:rFonts w:hint="eastAsia" w:cs="仿宋"/>
                <w:color w:val="auto"/>
                <w:sz w:val="18"/>
                <w:szCs w:val="18"/>
                <w:lang w:val="en-US" w:eastAsia="zh-CN"/>
              </w:rPr>
              <w:t>.</w:t>
            </w:r>
            <w:r>
              <w:rPr>
                <w:rFonts w:hint="eastAsia" w:ascii="仿宋" w:hAnsi="仿宋" w:eastAsia="仿宋" w:cs="仿宋"/>
                <w:color w:val="auto"/>
                <w:sz w:val="18"/>
                <w:szCs w:val="18"/>
                <w:lang w:val="en-US" w:eastAsia="zh-CN"/>
              </w:rPr>
              <w:t>文龙中美乏风余热利用供热系统自动控制软件V1.0</w:t>
            </w:r>
          </w:p>
          <w:p>
            <w:pPr>
              <w:pStyle w:val="11"/>
              <w:keepNext w:val="0"/>
              <w:keepLines w:val="0"/>
              <w:pageBreakBefore w:val="0"/>
              <w:widowControl w:val="0"/>
              <w:kinsoku/>
              <w:wordWrap/>
              <w:overflowPunct/>
              <w:topLinePunct w:val="0"/>
              <w:autoSpaceDE/>
              <w:autoSpaceDN/>
              <w:bidi w:val="0"/>
              <w:adjustRightInd/>
              <w:snapToGrid/>
              <w:spacing w:line="260" w:lineRule="exact"/>
              <w:ind w:right="-31" w:rightChars="-15"/>
              <w:jc w:val="both"/>
              <w:textAlignment w:val="auto"/>
              <w:rPr>
                <w:rFonts w:hint="default" w:ascii="仿宋" w:hAnsi="仿宋" w:eastAsia="仿宋" w:cs="仿宋"/>
                <w:color w:val="auto"/>
                <w:sz w:val="18"/>
                <w:szCs w:val="18"/>
                <w:lang w:val="en-US" w:eastAsia="zh-CN"/>
              </w:rPr>
            </w:pPr>
            <w:r>
              <w:rPr>
                <w:rFonts w:hint="eastAsia" w:cs="仿宋"/>
                <w:color w:val="auto"/>
                <w:sz w:val="18"/>
                <w:szCs w:val="18"/>
                <w:lang w:val="en-US" w:eastAsia="zh-CN"/>
              </w:rPr>
              <w:t>软著登字第7812967号</w:t>
            </w:r>
          </w:p>
        </w:tc>
        <w:tc>
          <w:tcPr>
            <w:tcW w:w="76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color w:val="auto"/>
                <w:kern w:val="2"/>
                <w:sz w:val="18"/>
                <w:szCs w:val="18"/>
                <w:lang w:val="en-US" w:eastAsia="zh-CN" w:bidi="ar-SA"/>
              </w:rPr>
              <w:t>山西文龙中美环能科技股份有限公司</w:t>
            </w:r>
          </w:p>
        </w:tc>
        <w:tc>
          <w:tcPr>
            <w:tcW w:w="843"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default"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fldChar w:fldCharType="begin"/>
            </w:r>
            <w:r>
              <w:rPr>
                <w:rFonts w:hint="eastAsia" w:ascii="仿宋" w:hAnsi="仿宋" w:eastAsia="仿宋" w:cs="仿宋"/>
                <w:color w:val="auto"/>
                <w:kern w:val="2"/>
                <w:sz w:val="18"/>
                <w:szCs w:val="18"/>
                <w:lang w:val="en-US" w:eastAsia="zh-CN" w:bidi="ar-SA"/>
              </w:rPr>
              <w:instrText xml:space="preserve"> HYPERLINK "http://183.201.195.165:11188/cgtj2018/apply/subviewpeople.jspa?id=902823118acee2d4018b1cbbfb480391&amp;mainDataId=902823118acee2d4018b0d0cd5eb3c07&amp;pageid=10&amp;frompage=edit" </w:instrText>
            </w:r>
            <w:r>
              <w:rPr>
                <w:rFonts w:hint="eastAsia" w:ascii="仿宋" w:hAnsi="仿宋" w:eastAsia="仿宋" w:cs="仿宋"/>
                <w:color w:val="auto"/>
                <w:kern w:val="2"/>
                <w:sz w:val="18"/>
                <w:szCs w:val="18"/>
                <w:lang w:val="en-US" w:eastAsia="zh-CN" w:bidi="ar-SA"/>
              </w:rPr>
              <w:fldChar w:fldCharType="separate"/>
            </w:r>
            <w:r>
              <w:rPr>
                <w:rFonts w:hint="eastAsia" w:ascii="仿宋" w:hAnsi="仿宋" w:eastAsia="仿宋" w:cs="仿宋"/>
                <w:color w:val="auto"/>
                <w:kern w:val="2"/>
                <w:sz w:val="18"/>
                <w:szCs w:val="18"/>
                <w:lang w:val="en-US" w:eastAsia="zh-CN" w:bidi="ar-SA"/>
              </w:rPr>
              <w:t>江  河</w:t>
            </w:r>
            <w:r>
              <w:rPr>
                <w:rFonts w:hint="eastAsia" w:ascii="仿宋" w:hAnsi="仿宋" w:eastAsia="仿宋" w:cs="仿宋"/>
                <w:color w:val="auto"/>
                <w:kern w:val="2"/>
                <w:sz w:val="18"/>
                <w:szCs w:val="18"/>
                <w:lang w:val="en-US" w:eastAsia="zh-CN" w:bidi="ar-SA"/>
              </w:rPr>
              <w:fldChar w:fldCharType="end"/>
            </w:r>
            <w:r>
              <w:rPr>
                <w:rFonts w:hint="eastAsia" w:cs="仿宋"/>
                <w:color w:val="auto"/>
                <w:kern w:val="2"/>
                <w:sz w:val="18"/>
                <w:szCs w:val="18"/>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胡文青、</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林功旺、</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牛亚慧、</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江俏锁、</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韦华中、</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丁午青、</w:t>
            </w:r>
          </w:p>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FF0000"/>
                <w:kern w:val="2"/>
                <w:sz w:val="18"/>
                <w:szCs w:val="18"/>
                <w:lang w:val="en-US" w:eastAsia="zh-CN" w:bidi="zh-CN"/>
              </w:rPr>
            </w:pPr>
            <w:r>
              <w:rPr>
                <w:rFonts w:hint="eastAsia" w:ascii="仿宋" w:hAnsi="仿宋" w:eastAsia="仿宋" w:cs="仿宋"/>
                <w:color w:val="auto"/>
                <w:kern w:val="2"/>
                <w:sz w:val="18"/>
                <w:szCs w:val="18"/>
                <w:lang w:val="en-US" w:eastAsia="zh-CN" w:bidi="ar-SA"/>
              </w:rPr>
              <w:t>茹小峰</w:t>
            </w:r>
          </w:p>
        </w:tc>
        <w:tc>
          <w:tcPr>
            <w:tcW w:w="515"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31" w:leftChars="-15" w:right="-31" w:rightChars="-15"/>
              <w:jc w:val="both"/>
              <w:textAlignment w:val="auto"/>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lang w:eastAsia="zh-CN"/>
              </w:rPr>
              <w:t>山西省科学技术进步奖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901" w:type="dxa"/>
            <w:vAlign w:val="center"/>
          </w:tcPr>
          <w:p>
            <w:pPr>
              <w:pStyle w:val="11"/>
              <w:spacing w:line="260" w:lineRule="exact"/>
              <w:ind w:left="-31" w:leftChars="-15" w:right="-31" w:rightChars="-15"/>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rPr>
              <w:t>医用个性化手术导板</w:t>
            </w:r>
          </w:p>
        </w:tc>
        <w:tc>
          <w:tcPr>
            <w:tcW w:w="2809" w:type="dxa"/>
            <w:vAlign w:val="center"/>
          </w:tcPr>
          <w:p>
            <w:pPr>
              <w:pStyle w:val="11"/>
              <w:spacing w:line="260" w:lineRule="exact"/>
              <w:ind w:left="-31" w:leftChars="-15" w:right="-31" w:rightChars="-15" w:firstLine="360" w:firstLineChars="200"/>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该</w:t>
            </w:r>
            <w:r>
              <w:rPr>
                <w:rFonts w:hint="eastAsia" w:ascii="仿宋" w:hAnsi="仿宋" w:eastAsia="仿宋" w:cs="仿宋"/>
                <w:color w:val="auto"/>
                <w:sz w:val="18"/>
                <w:szCs w:val="18"/>
                <w:lang w:val="en-US"/>
              </w:rPr>
              <w:t>导板根据影像学重建规划设计，以精准医疗、临床需求、简化手术方案为目的设计出符合病理要求的手术定位导航模板，使手术达到术前可依、术中可控、术</w:t>
            </w:r>
            <w:r>
              <w:rPr>
                <w:rFonts w:hint="eastAsia" w:cs="仿宋"/>
                <w:color w:val="auto"/>
                <w:sz w:val="18"/>
                <w:szCs w:val="18"/>
                <w:lang w:val="en-US" w:eastAsia="zh-CN"/>
              </w:rPr>
              <w:t>后</w:t>
            </w:r>
            <w:r>
              <w:rPr>
                <w:rFonts w:hint="eastAsia" w:ascii="仿宋" w:hAnsi="仿宋" w:eastAsia="仿宋" w:cs="仿宋"/>
                <w:color w:val="auto"/>
                <w:sz w:val="18"/>
                <w:szCs w:val="18"/>
                <w:lang w:val="en-US"/>
              </w:rPr>
              <w:t>可溯。累计投入1000多万</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val="en-US"/>
              </w:rPr>
              <w:t>通过建设5G远程控制中心，在各个医院投入设备，通过中心实现数据传送与打印，减少物流时间，快速应用临床。提高基层医院解决疑难杂症手术的能力，解决基层医院无导航困境，促进分级诊疗、精准医疗发展。已完成国家二类器械注册</w:t>
            </w:r>
            <w:r>
              <w:rPr>
                <w:rFonts w:hint="eastAsia" w:ascii="仿宋" w:hAnsi="仿宋" w:eastAsia="仿宋" w:cs="仿宋"/>
                <w:color w:val="auto"/>
                <w:sz w:val="18"/>
                <w:szCs w:val="18"/>
                <w:lang w:val="en-US" w:eastAsia="zh-CN"/>
              </w:rPr>
              <w:t>，获得生产证</w:t>
            </w:r>
            <w:r>
              <w:rPr>
                <w:rFonts w:hint="eastAsia" w:ascii="仿宋" w:hAnsi="仿宋" w:eastAsia="仿宋" w:cs="仿宋"/>
                <w:color w:val="auto"/>
                <w:sz w:val="18"/>
                <w:szCs w:val="18"/>
                <w:lang w:val="en-US"/>
              </w:rPr>
              <w:t>。</w:t>
            </w:r>
          </w:p>
        </w:tc>
        <w:tc>
          <w:tcPr>
            <w:tcW w:w="1825" w:type="dxa"/>
            <w:vAlign w:val="center"/>
          </w:tcPr>
          <w:p>
            <w:pPr>
              <w:pStyle w:val="11"/>
              <w:spacing w:line="260" w:lineRule="exact"/>
              <w:ind w:left="-31" w:leftChars="-15" w:right="-31" w:rightChars="-15" w:firstLine="360" w:firstLineChars="200"/>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该公司“</w:t>
            </w:r>
            <w:r>
              <w:rPr>
                <w:rFonts w:hint="eastAsia" w:ascii="仿宋" w:hAnsi="仿宋" w:eastAsia="仿宋" w:cs="仿宋"/>
                <w:color w:val="auto"/>
                <w:sz w:val="18"/>
                <w:szCs w:val="18"/>
                <w:lang w:val="en-US"/>
              </w:rPr>
              <w:t>3D打印导航导板</w:t>
            </w:r>
            <w:r>
              <w:rPr>
                <w:rFonts w:hint="eastAsia" w:ascii="仿宋" w:hAnsi="仿宋" w:eastAsia="仿宋" w:cs="仿宋"/>
                <w:color w:val="auto"/>
                <w:sz w:val="18"/>
                <w:szCs w:val="18"/>
                <w:lang w:val="en-US" w:eastAsia="zh-CN"/>
              </w:rPr>
              <w:t>”，于</w:t>
            </w:r>
            <w:r>
              <w:rPr>
                <w:rFonts w:hint="eastAsia" w:ascii="仿宋" w:hAnsi="仿宋" w:eastAsia="仿宋" w:cs="仿宋"/>
                <w:color w:val="auto"/>
                <w:sz w:val="18"/>
                <w:szCs w:val="18"/>
                <w:lang w:val="en-US"/>
              </w:rPr>
              <w:t>2016年率先开始在</w:t>
            </w:r>
            <w:r>
              <w:rPr>
                <w:rFonts w:hint="eastAsia" w:ascii="仿宋" w:hAnsi="仿宋" w:eastAsia="仿宋" w:cs="仿宋"/>
                <w:color w:val="auto"/>
                <w:sz w:val="18"/>
                <w:szCs w:val="18"/>
                <w:lang w:val="en-US" w:eastAsia="zh-CN"/>
              </w:rPr>
              <w:t>山西</w:t>
            </w:r>
            <w:r>
              <w:rPr>
                <w:rFonts w:hint="eastAsia" w:ascii="仿宋" w:hAnsi="仿宋" w:eastAsia="仿宋" w:cs="仿宋"/>
                <w:color w:val="auto"/>
                <w:sz w:val="18"/>
                <w:szCs w:val="18"/>
                <w:lang w:val="en-US"/>
              </w:rPr>
              <w:t>省内进行临床研究与应用，曾获中国创新创业大赛山西赛区二等奖，已在省内多家医疗机构应用1020例，成功率达99%，精度达2mm</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val="en-US"/>
              </w:rPr>
              <w:t>目前已经在山西白求恩医院、山西医科大学第一医院、晋中市第一人民医院、山西医科大学第二医院西院等省内10多家家医疗机构投入使用。</w:t>
            </w:r>
          </w:p>
        </w:tc>
        <w:tc>
          <w:tcPr>
            <w:tcW w:w="5893" w:type="dxa"/>
            <w:vAlign w:val="center"/>
          </w:tcPr>
          <w:p>
            <w:pPr>
              <w:pStyle w:val="11"/>
              <w:spacing w:line="260" w:lineRule="exact"/>
              <w:ind w:right="-31" w:rightChars="-15"/>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实用新型专利：</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val="en-US"/>
              </w:rPr>
              <w:t>.一种脑内病变的手术定位装置</w:t>
            </w:r>
            <w:r>
              <w:rPr>
                <w:rFonts w:hint="eastAsia" w:ascii="仿宋" w:hAnsi="仿宋" w:eastAsia="仿宋" w:cs="仿宋"/>
                <w:color w:val="auto"/>
                <w:sz w:val="18"/>
                <w:szCs w:val="18"/>
                <w:lang w:val="en-US" w:eastAsia="zh-CN"/>
              </w:rPr>
              <w:t>ZL201921801502.9</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rPr>
              <w:t>2.一种单通道</w:t>
            </w:r>
            <w:r>
              <w:rPr>
                <w:rFonts w:hint="eastAsia" w:ascii="仿宋" w:hAnsi="仿宋" w:eastAsia="仿宋" w:cs="仿宋"/>
                <w:color w:val="auto"/>
                <w:sz w:val="18"/>
                <w:szCs w:val="18"/>
                <w:lang w:val="en-US" w:eastAsia="zh-CN"/>
              </w:rPr>
              <w:t>小脑合并脑干</w:t>
            </w:r>
            <w:r>
              <w:rPr>
                <w:rFonts w:hint="eastAsia" w:ascii="仿宋" w:hAnsi="仿宋" w:eastAsia="仿宋" w:cs="仿宋"/>
                <w:color w:val="auto"/>
                <w:sz w:val="18"/>
                <w:szCs w:val="18"/>
                <w:lang w:val="en-US"/>
              </w:rPr>
              <w:t>出血定位装置</w:t>
            </w:r>
            <w:r>
              <w:rPr>
                <w:rFonts w:hint="eastAsia" w:ascii="仿宋" w:hAnsi="仿宋" w:eastAsia="仿宋" w:cs="仿宋"/>
                <w:color w:val="auto"/>
                <w:sz w:val="18"/>
                <w:szCs w:val="18"/>
                <w:lang w:val="en-US" w:eastAsia="zh-CN"/>
              </w:rPr>
              <w:t>ZL202222019923.4</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p>
          <w:p>
            <w:pPr>
              <w:pStyle w:val="11"/>
              <w:spacing w:line="260" w:lineRule="exact"/>
              <w:ind w:left="-31" w:leftChars="-15" w:right="-31" w:rightChars="-15"/>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软件著作权：</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val="en-US"/>
              </w:rPr>
              <w:t>.</w:t>
            </w:r>
            <w:r>
              <w:rPr>
                <w:rFonts w:hint="eastAsia" w:ascii="仿宋" w:hAnsi="仿宋" w:eastAsia="仿宋" w:cs="仿宋"/>
                <w:color w:val="auto"/>
                <w:sz w:val="18"/>
                <w:szCs w:val="18"/>
                <w:lang w:val="en-US" w:eastAsia="zh-CN"/>
              </w:rPr>
              <w:t>CT和MRI图像处理软件V1.0</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软著登字第</w:t>
            </w:r>
            <w:r>
              <w:rPr>
                <w:rFonts w:hint="eastAsia" w:ascii="仿宋" w:hAnsi="仿宋" w:eastAsia="仿宋" w:cs="仿宋"/>
                <w:color w:val="auto"/>
                <w:sz w:val="18"/>
                <w:szCs w:val="18"/>
              </w:rPr>
              <w:t>2018SR</w:t>
            </w:r>
            <w:r>
              <w:rPr>
                <w:rFonts w:hint="eastAsia" w:ascii="仿宋" w:hAnsi="仿宋" w:eastAsia="仿宋" w:cs="仿宋"/>
                <w:color w:val="auto"/>
                <w:sz w:val="18"/>
                <w:szCs w:val="18"/>
                <w:lang w:val="en-US" w:eastAsia="zh-CN"/>
              </w:rPr>
              <w:t>1089401</w:t>
            </w:r>
            <w:r>
              <w:rPr>
                <w:rFonts w:hint="eastAsia" w:ascii="仿宋" w:hAnsi="仿宋" w:eastAsia="仿宋" w:cs="仿宋"/>
                <w:color w:val="auto"/>
                <w:sz w:val="18"/>
                <w:szCs w:val="18"/>
                <w:lang w:eastAsia="zh-CN"/>
              </w:rPr>
              <w:t>号</w:t>
            </w:r>
          </w:p>
          <w:p>
            <w:pPr>
              <w:pStyle w:val="11"/>
              <w:spacing w:line="260" w:lineRule="exact"/>
              <w:ind w:left="-31" w:leftChars="-15" w:right="-31" w:rightChars="-15"/>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2.基于3D打印医疗应用软件V1.0</w:t>
            </w:r>
          </w:p>
          <w:p>
            <w:pPr>
              <w:pStyle w:val="11"/>
              <w:spacing w:line="260" w:lineRule="exact"/>
              <w:ind w:right="-31" w:rightChars="-15"/>
              <w:jc w:val="left"/>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软著登字第</w:t>
            </w:r>
            <w:r>
              <w:rPr>
                <w:rFonts w:hint="eastAsia" w:ascii="仿宋" w:hAnsi="仿宋" w:eastAsia="仿宋" w:cs="仿宋"/>
                <w:color w:val="auto"/>
                <w:sz w:val="18"/>
                <w:szCs w:val="18"/>
              </w:rPr>
              <w:t>2018SR</w:t>
            </w:r>
            <w:r>
              <w:rPr>
                <w:rFonts w:hint="eastAsia" w:ascii="仿宋" w:hAnsi="仿宋" w:eastAsia="仿宋" w:cs="仿宋"/>
                <w:color w:val="auto"/>
                <w:sz w:val="18"/>
                <w:szCs w:val="18"/>
                <w:lang w:val="en-US" w:eastAsia="zh-CN"/>
              </w:rPr>
              <w:t>1088558</w:t>
            </w:r>
            <w:r>
              <w:rPr>
                <w:rFonts w:hint="eastAsia" w:ascii="仿宋" w:hAnsi="仿宋" w:eastAsia="仿宋" w:cs="仿宋"/>
                <w:color w:val="auto"/>
                <w:sz w:val="18"/>
                <w:szCs w:val="18"/>
                <w:lang w:eastAsia="zh-CN"/>
              </w:rPr>
              <w:t>号</w:t>
            </w:r>
          </w:p>
        </w:tc>
        <w:tc>
          <w:tcPr>
            <w:tcW w:w="769" w:type="dxa"/>
            <w:vAlign w:val="center"/>
          </w:tcPr>
          <w:p>
            <w:pPr>
              <w:pStyle w:val="11"/>
              <w:spacing w:line="260" w:lineRule="exact"/>
              <w:ind w:left="-31" w:leftChars="-15" w:right="-31" w:rightChars="-15"/>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山西雅韵雕医疗科技有限公司</w:t>
            </w:r>
          </w:p>
          <w:p>
            <w:pPr>
              <w:pStyle w:val="11"/>
              <w:spacing w:line="260" w:lineRule="exact"/>
              <w:ind w:left="-31" w:leftChars="-15" w:right="-31" w:rightChars="-15"/>
              <w:rPr>
                <w:rFonts w:hint="eastAsia" w:ascii="仿宋" w:hAnsi="仿宋" w:eastAsia="仿宋" w:cs="仿宋"/>
                <w:color w:val="auto"/>
                <w:sz w:val="18"/>
                <w:szCs w:val="18"/>
              </w:rPr>
            </w:pPr>
          </w:p>
          <w:p>
            <w:pPr>
              <w:pStyle w:val="11"/>
              <w:spacing w:line="260" w:lineRule="exact"/>
              <w:ind w:left="-31" w:leftChars="-15" w:right="-31" w:rightChars="-15"/>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val="en-US"/>
              </w:rPr>
              <w:t>山西白求恩医院</w:t>
            </w:r>
            <w:r>
              <w:rPr>
                <w:rFonts w:hint="eastAsia" w:ascii="仿宋" w:hAnsi="仿宋" w:eastAsia="仿宋" w:cs="仿宋"/>
                <w:color w:val="auto"/>
                <w:sz w:val="18"/>
                <w:szCs w:val="18"/>
                <w:lang w:val="en-US" w:eastAsia="zh-CN"/>
              </w:rPr>
              <w:t>（山西医学科学院）</w:t>
            </w:r>
          </w:p>
          <w:p>
            <w:pPr>
              <w:pStyle w:val="11"/>
              <w:spacing w:line="260" w:lineRule="exact"/>
              <w:ind w:left="-31" w:leftChars="-15" w:right="-31" w:rightChars="-15"/>
              <w:rPr>
                <w:rFonts w:hint="eastAsia" w:ascii="仿宋" w:hAnsi="仿宋" w:eastAsia="仿宋" w:cs="仿宋"/>
                <w:color w:val="auto"/>
                <w:sz w:val="18"/>
                <w:szCs w:val="18"/>
                <w:lang w:val="en-US"/>
              </w:rPr>
            </w:pPr>
          </w:p>
          <w:p>
            <w:pPr>
              <w:pStyle w:val="11"/>
              <w:spacing w:line="260" w:lineRule="exact"/>
              <w:ind w:left="-31" w:leftChars="-15" w:right="-31" w:rightChars="-15"/>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山西增材制造研究院有限公司</w:t>
            </w:r>
          </w:p>
          <w:p>
            <w:pPr>
              <w:pStyle w:val="11"/>
              <w:spacing w:line="260" w:lineRule="exact"/>
              <w:ind w:left="-31" w:leftChars="-15" w:right="-31" w:rightChars="-15"/>
              <w:rPr>
                <w:rFonts w:hint="eastAsia" w:ascii="仿宋" w:hAnsi="仿宋" w:eastAsia="仿宋" w:cs="仿宋"/>
                <w:color w:val="auto"/>
                <w:sz w:val="18"/>
                <w:szCs w:val="18"/>
              </w:rPr>
            </w:pPr>
          </w:p>
          <w:p>
            <w:pPr>
              <w:pStyle w:val="11"/>
              <w:spacing w:line="260" w:lineRule="exact"/>
              <w:ind w:left="-31" w:leftChars="-15" w:right="-31" w:rightChars="-15"/>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val="en-US"/>
              </w:rPr>
              <w:t>山西省检验检测中心医疗器械检验技术研究所</w:t>
            </w:r>
          </w:p>
        </w:tc>
        <w:tc>
          <w:tcPr>
            <w:tcW w:w="843" w:type="dxa"/>
            <w:vAlign w:val="center"/>
          </w:tcPr>
          <w:p>
            <w:pPr>
              <w:pStyle w:val="11"/>
              <w:spacing w:line="260" w:lineRule="exact"/>
              <w:ind w:left="-31" w:leftChars="-15" w:right="-31" w:rightChars="-15"/>
              <w:jc w:val="left"/>
              <w:rPr>
                <w:rFonts w:hint="eastAsia" w:ascii="仿宋" w:hAnsi="仿宋" w:eastAsia="仿宋" w:cs="仿宋"/>
                <w:color w:val="auto"/>
                <w:kern w:val="2"/>
                <w:sz w:val="18"/>
                <w:szCs w:val="18"/>
                <w:lang w:val="en-US" w:eastAsia="zh-CN" w:bidi="zh-CN"/>
              </w:rPr>
            </w:pPr>
            <w:r>
              <w:rPr>
                <w:rFonts w:hint="eastAsia" w:ascii="仿宋" w:hAnsi="仿宋" w:eastAsia="仿宋" w:cs="仿宋"/>
                <w:color w:val="auto"/>
                <w:sz w:val="18"/>
                <w:szCs w:val="18"/>
                <w:lang w:val="en-US"/>
              </w:rPr>
              <w:t>罗</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lang w:val="en-US"/>
              </w:rPr>
              <w:t>伟</w:t>
            </w:r>
            <w:r>
              <w:rPr>
                <w:rFonts w:hint="eastAsia" w:cs="仿宋"/>
                <w:color w:val="auto"/>
                <w:sz w:val="18"/>
                <w:szCs w:val="18"/>
                <w:lang w:val="en-US" w:eastAsia="zh-CN"/>
              </w:rPr>
              <w:t>、</w:t>
            </w:r>
            <w:r>
              <w:rPr>
                <w:rFonts w:hint="eastAsia" w:ascii="仿宋" w:hAnsi="仿宋" w:eastAsia="仿宋" w:cs="仿宋"/>
                <w:color w:val="auto"/>
                <w:sz w:val="18"/>
                <w:szCs w:val="18"/>
                <w:lang w:val="en-US"/>
              </w:rPr>
              <w:t>刘震洋</w:t>
            </w:r>
            <w:r>
              <w:rPr>
                <w:rFonts w:hint="eastAsia" w:cs="仿宋"/>
                <w:color w:val="auto"/>
                <w:sz w:val="18"/>
                <w:szCs w:val="18"/>
                <w:lang w:val="en-US" w:eastAsia="zh-CN"/>
              </w:rPr>
              <w:t>、</w:t>
            </w:r>
            <w:r>
              <w:rPr>
                <w:rFonts w:hint="eastAsia" w:ascii="仿宋" w:hAnsi="仿宋" w:eastAsia="仿宋" w:cs="仿宋"/>
                <w:color w:val="auto"/>
                <w:sz w:val="18"/>
                <w:szCs w:val="18"/>
                <w:lang w:val="en-US"/>
              </w:rPr>
              <w:t>刘奇才</w:t>
            </w:r>
            <w:r>
              <w:rPr>
                <w:rFonts w:hint="eastAsia" w:cs="仿宋"/>
                <w:color w:val="auto"/>
                <w:sz w:val="18"/>
                <w:szCs w:val="18"/>
                <w:lang w:val="en-US" w:eastAsia="zh-CN"/>
              </w:rPr>
              <w:t>、</w:t>
            </w:r>
            <w:r>
              <w:rPr>
                <w:rFonts w:hint="eastAsia" w:ascii="仿宋" w:hAnsi="仿宋" w:eastAsia="仿宋" w:cs="仿宋"/>
                <w:color w:val="auto"/>
                <w:sz w:val="18"/>
                <w:szCs w:val="18"/>
                <w:lang w:val="en-US"/>
              </w:rPr>
              <w:t>郝亚暾</w:t>
            </w:r>
            <w:r>
              <w:rPr>
                <w:rFonts w:hint="eastAsia" w:cs="仿宋"/>
                <w:color w:val="auto"/>
                <w:sz w:val="18"/>
                <w:szCs w:val="18"/>
                <w:lang w:val="en-US" w:eastAsia="zh-CN"/>
              </w:rPr>
              <w:t>、</w:t>
            </w:r>
            <w:r>
              <w:rPr>
                <w:rFonts w:hint="eastAsia" w:ascii="仿宋" w:hAnsi="仿宋" w:eastAsia="仿宋" w:cs="仿宋"/>
                <w:color w:val="auto"/>
                <w:sz w:val="18"/>
                <w:szCs w:val="18"/>
                <w:lang w:val="en-US"/>
              </w:rPr>
              <w:t>张志清</w:t>
            </w:r>
          </w:p>
        </w:tc>
        <w:tc>
          <w:tcPr>
            <w:tcW w:w="515" w:type="dxa"/>
            <w:vAlign w:val="center"/>
          </w:tcPr>
          <w:p>
            <w:pPr>
              <w:pStyle w:val="11"/>
              <w:spacing w:line="260" w:lineRule="exact"/>
              <w:ind w:left="-31" w:leftChars="-15" w:right="-31" w:rightChars="-15"/>
              <w:rPr>
                <w:rFonts w:hint="eastAsia" w:ascii="仿宋" w:hAnsi="仿宋" w:eastAsia="仿宋" w:cs="仿宋"/>
                <w:color w:val="auto"/>
                <w:kern w:val="2"/>
                <w:sz w:val="18"/>
                <w:szCs w:val="18"/>
                <w:lang w:val="zh-CN" w:eastAsia="zh-CN" w:bidi="zh-CN"/>
              </w:rPr>
            </w:pPr>
            <w:r>
              <w:rPr>
                <w:rFonts w:hint="eastAsia" w:ascii="仿宋" w:hAnsi="仿宋" w:eastAsia="仿宋" w:cs="仿宋"/>
                <w:color w:val="auto"/>
                <w:sz w:val="18"/>
                <w:szCs w:val="18"/>
              </w:rPr>
              <w:t>山西省科学技术进步</w:t>
            </w:r>
            <w:r>
              <w:rPr>
                <w:rFonts w:hint="eastAsia" w:ascii="仿宋" w:hAnsi="仿宋" w:eastAsia="仿宋" w:cs="仿宋"/>
                <w:color w:val="auto"/>
                <w:sz w:val="18"/>
                <w:szCs w:val="18"/>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549" w:type="dxa"/>
            <w:vAlign w:val="center"/>
          </w:tcPr>
          <w:p>
            <w:pPr>
              <w:pStyle w:val="11"/>
              <w:spacing w:line="260" w:lineRule="exact"/>
              <w:ind w:left="-31" w:leftChars="-15" w:right="-31" w:rightChars="-15"/>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901" w:type="dxa"/>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18"/>
                <w:szCs w:val="18"/>
              </w:rPr>
              <w:t>玉米优质</w:t>
            </w:r>
            <w:r>
              <w:rPr>
                <w:rFonts w:hint="eastAsia" w:ascii="仿宋" w:hAnsi="仿宋" w:eastAsia="仿宋" w:cs="仿宋"/>
                <w:sz w:val="18"/>
                <w:szCs w:val="18"/>
                <w:lang w:eastAsia="zh-CN"/>
              </w:rPr>
              <w:t>抗病</w:t>
            </w:r>
            <w:r>
              <w:rPr>
                <w:rFonts w:hint="eastAsia" w:ascii="仿宋" w:hAnsi="仿宋" w:eastAsia="仿宋" w:cs="仿宋"/>
                <w:sz w:val="18"/>
                <w:szCs w:val="18"/>
              </w:rPr>
              <w:t>品种“青卓918”的选育与应用</w:t>
            </w:r>
          </w:p>
        </w:tc>
        <w:tc>
          <w:tcPr>
            <w:tcW w:w="2809" w:type="dxa"/>
            <w:vAlign w:val="top"/>
          </w:tcPr>
          <w:p>
            <w:pPr>
              <w:keepNext w:val="0"/>
              <w:keepLines w:val="0"/>
              <w:pageBreakBefore w:val="0"/>
              <w:widowControl w:val="0"/>
              <w:kinsoku/>
              <w:wordWrap/>
              <w:overflowPunct/>
              <w:topLinePunct w:val="0"/>
              <w:autoSpaceDE/>
              <w:autoSpaceDN/>
              <w:bidi w:val="0"/>
              <w:adjustRightInd/>
              <w:snapToGrid w:val="0"/>
              <w:spacing w:line="260" w:lineRule="exact"/>
              <w:ind w:firstLine="360" w:firstLineChars="200"/>
              <w:jc w:val="both"/>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玉米优质品种“</w:t>
            </w:r>
            <w:r>
              <w:rPr>
                <w:rFonts w:hint="eastAsia" w:ascii="仿宋" w:hAnsi="仿宋" w:eastAsia="仿宋" w:cs="仿宋"/>
                <w:sz w:val="18"/>
                <w:szCs w:val="18"/>
              </w:rPr>
              <w:t>青卓918</w:t>
            </w:r>
            <w:r>
              <w:rPr>
                <w:rFonts w:hint="eastAsia" w:ascii="仿宋" w:hAnsi="仿宋" w:eastAsia="仿宋" w:cs="仿宋"/>
                <w:sz w:val="18"/>
                <w:szCs w:val="18"/>
                <w:lang w:eastAsia="zh-CN"/>
              </w:rPr>
              <w:t>”为由</w:t>
            </w:r>
            <w:r>
              <w:rPr>
                <w:rFonts w:hint="eastAsia" w:ascii="仿宋" w:hAnsi="仿宋" w:eastAsia="仿宋" w:cs="仿宋"/>
                <w:sz w:val="18"/>
                <w:szCs w:val="18"/>
              </w:rPr>
              <w:t>自选系X4835为母本</w:t>
            </w:r>
            <w:r>
              <w:rPr>
                <w:rFonts w:hint="eastAsia" w:ascii="仿宋" w:hAnsi="仿宋" w:eastAsia="仿宋" w:cs="仿宋"/>
                <w:sz w:val="18"/>
                <w:szCs w:val="18"/>
                <w:lang w:eastAsia="zh-CN"/>
              </w:rPr>
              <w:t>、</w:t>
            </w:r>
            <w:r>
              <w:rPr>
                <w:rFonts w:hint="eastAsia" w:ascii="仿宋" w:hAnsi="仿宋" w:eastAsia="仿宋" w:cs="仿宋"/>
                <w:sz w:val="18"/>
                <w:szCs w:val="18"/>
              </w:rPr>
              <w:t>自选系X3508为父本组配而成的杂交种，出苗齐、全、均、壮</w:t>
            </w:r>
            <w:r>
              <w:rPr>
                <w:rFonts w:hint="eastAsia" w:ascii="仿宋" w:hAnsi="仿宋" w:eastAsia="仿宋" w:cs="仿宋"/>
                <w:sz w:val="18"/>
                <w:szCs w:val="18"/>
                <w:lang w:eastAsia="zh-CN"/>
              </w:rPr>
              <w:t>；</w:t>
            </w:r>
            <w:r>
              <w:rPr>
                <w:rFonts w:hint="eastAsia" w:ascii="仿宋" w:hAnsi="仿宋" w:eastAsia="仿宋" w:cs="仿宋"/>
                <w:sz w:val="18"/>
                <w:szCs w:val="18"/>
              </w:rPr>
              <w:t>种子正常发芽率在95%以上，比国标一级玉米种子（85%）高10%</w:t>
            </w:r>
            <w:r>
              <w:rPr>
                <w:rFonts w:hint="eastAsia" w:ascii="仿宋" w:hAnsi="仿宋" w:eastAsia="仿宋" w:cs="仿宋"/>
                <w:sz w:val="18"/>
                <w:szCs w:val="18"/>
                <w:lang w:eastAsia="zh-CN"/>
              </w:rPr>
              <w:t>；</w:t>
            </w:r>
            <w:r>
              <w:rPr>
                <w:rFonts w:hint="eastAsia" w:ascii="仿宋" w:hAnsi="仿宋" w:eastAsia="仿宋" w:cs="仿宋"/>
                <w:sz w:val="18"/>
                <w:szCs w:val="18"/>
              </w:rPr>
              <w:t>果穗苞叶薄、苞叶松、层数少，大小均匀，易于机收</w:t>
            </w:r>
            <w:r>
              <w:rPr>
                <w:rFonts w:hint="eastAsia" w:ascii="仿宋" w:hAnsi="仿宋" w:eastAsia="仿宋" w:cs="仿宋"/>
                <w:sz w:val="18"/>
                <w:szCs w:val="18"/>
                <w:lang w:eastAsia="zh-CN"/>
              </w:rPr>
              <w:t>；</w:t>
            </w:r>
            <w:r>
              <w:rPr>
                <w:rFonts w:hint="eastAsia" w:ascii="仿宋" w:hAnsi="仿宋" w:eastAsia="仿宋" w:cs="仿宋"/>
                <w:sz w:val="18"/>
                <w:szCs w:val="18"/>
              </w:rPr>
              <w:t>机收果穗漏穗率仅为0.1%，秸秆田间粉碎率100%</w:t>
            </w:r>
            <w:r>
              <w:rPr>
                <w:rFonts w:hint="eastAsia" w:ascii="仿宋" w:hAnsi="仿宋" w:eastAsia="仿宋" w:cs="仿宋"/>
                <w:sz w:val="18"/>
                <w:szCs w:val="18"/>
                <w:lang w:eastAsia="zh-CN"/>
              </w:rPr>
              <w:t>；</w:t>
            </w:r>
            <w:r>
              <w:rPr>
                <w:rFonts w:hint="eastAsia" w:ascii="仿宋" w:hAnsi="仿宋" w:eastAsia="仿宋" w:cs="仿宋"/>
                <w:sz w:val="18"/>
                <w:szCs w:val="18"/>
              </w:rPr>
              <w:t>容重741克/升</w:t>
            </w:r>
            <w:r>
              <w:rPr>
                <w:rFonts w:hint="eastAsia" w:ascii="仿宋" w:hAnsi="仿宋" w:eastAsia="仿宋" w:cs="仿宋"/>
                <w:sz w:val="18"/>
                <w:szCs w:val="18"/>
                <w:lang w:eastAsia="zh-CN"/>
              </w:rPr>
              <w:t>、</w:t>
            </w:r>
            <w:r>
              <w:rPr>
                <w:rFonts w:hint="eastAsia" w:ascii="仿宋" w:hAnsi="仿宋" w:eastAsia="仿宋" w:cs="仿宋"/>
                <w:sz w:val="18"/>
                <w:szCs w:val="18"/>
              </w:rPr>
              <w:t>粗蛋白8.70%</w:t>
            </w:r>
            <w:r>
              <w:rPr>
                <w:rFonts w:hint="eastAsia" w:ascii="仿宋" w:hAnsi="仿宋" w:eastAsia="仿宋" w:cs="仿宋"/>
                <w:sz w:val="18"/>
                <w:szCs w:val="18"/>
                <w:lang w:eastAsia="zh-CN"/>
              </w:rPr>
              <w:t>、</w:t>
            </w:r>
            <w:r>
              <w:rPr>
                <w:rFonts w:hint="eastAsia" w:ascii="仿宋" w:hAnsi="仿宋" w:eastAsia="仿宋" w:cs="仿宋"/>
                <w:sz w:val="18"/>
                <w:szCs w:val="18"/>
              </w:rPr>
              <w:t>粗脂肪3.85%</w:t>
            </w:r>
            <w:r>
              <w:rPr>
                <w:rFonts w:hint="eastAsia" w:ascii="仿宋" w:hAnsi="仿宋" w:eastAsia="仿宋" w:cs="仿宋"/>
                <w:sz w:val="18"/>
                <w:szCs w:val="18"/>
                <w:lang w:eastAsia="zh-CN"/>
              </w:rPr>
              <w:t>、</w:t>
            </w:r>
            <w:r>
              <w:rPr>
                <w:rFonts w:hint="eastAsia" w:ascii="仿宋" w:hAnsi="仿宋" w:eastAsia="仿宋" w:cs="仿宋"/>
                <w:sz w:val="18"/>
                <w:szCs w:val="18"/>
              </w:rPr>
              <w:t>粗淀粉76.32%；感丝黑穗病</w:t>
            </w:r>
            <w:r>
              <w:rPr>
                <w:rFonts w:hint="eastAsia" w:ascii="仿宋" w:hAnsi="仿宋" w:eastAsia="仿宋" w:cs="仿宋"/>
                <w:sz w:val="18"/>
                <w:szCs w:val="18"/>
                <w:lang w:eastAsia="zh-CN"/>
              </w:rPr>
              <w:t>、</w:t>
            </w:r>
            <w:r>
              <w:rPr>
                <w:rFonts w:hint="eastAsia" w:ascii="仿宋" w:hAnsi="仿宋" w:eastAsia="仿宋" w:cs="仿宋"/>
                <w:sz w:val="18"/>
                <w:szCs w:val="18"/>
              </w:rPr>
              <w:t>穗腐病</w:t>
            </w:r>
            <w:r>
              <w:rPr>
                <w:rFonts w:hint="eastAsia" w:ascii="仿宋" w:hAnsi="仿宋" w:eastAsia="仿宋" w:cs="仿宋"/>
                <w:sz w:val="18"/>
                <w:szCs w:val="18"/>
                <w:lang w:eastAsia="zh-CN"/>
              </w:rPr>
              <w:t>，</w:t>
            </w:r>
            <w:r>
              <w:rPr>
                <w:rFonts w:hint="eastAsia" w:ascii="仿宋" w:hAnsi="仿宋" w:eastAsia="仿宋" w:cs="仿宋"/>
                <w:sz w:val="18"/>
                <w:szCs w:val="18"/>
              </w:rPr>
              <w:t>中抗大斑病、茎腐病、矮花叶病。</w:t>
            </w:r>
          </w:p>
          <w:p>
            <w:pPr>
              <w:keepNext w:val="0"/>
              <w:keepLines w:val="0"/>
              <w:pageBreakBefore w:val="0"/>
              <w:widowControl w:val="0"/>
              <w:kinsoku/>
              <w:wordWrap/>
              <w:overflowPunct/>
              <w:topLinePunct w:val="0"/>
              <w:autoSpaceDE/>
              <w:autoSpaceDN/>
              <w:bidi w:val="0"/>
              <w:adjustRightInd/>
              <w:snapToGrid w:val="0"/>
              <w:spacing w:line="260" w:lineRule="exact"/>
              <w:ind w:firstLine="360" w:firstLineChars="200"/>
              <w:jc w:val="both"/>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2015年参加山西省春播早熟区区域试验，8</w:t>
            </w:r>
            <w:r>
              <w:rPr>
                <w:rFonts w:hint="eastAsia" w:ascii="仿宋" w:hAnsi="仿宋" w:eastAsia="仿宋" w:cs="仿宋"/>
                <w:sz w:val="18"/>
                <w:szCs w:val="18"/>
                <w:lang w:eastAsia="zh-CN"/>
              </w:rPr>
              <w:t>个试</w:t>
            </w:r>
            <w:r>
              <w:rPr>
                <w:rFonts w:hint="eastAsia" w:ascii="仿宋" w:hAnsi="仿宋" w:eastAsia="仿宋" w:cs="仿宋"/>
                <w:sz w:val="18"/>
                <w:szCs w:val="18"/>
              </w:rPr>
              <w:t>点全部增产，每</w:t>
            </w:r>
            <w:r>
              <w:rPr>
                <w:rFonts w:hint="eastAsia" w:ascii="仿宋" w:hAnsi="仿宋" w:eastAsia="仿宋" w:cs="仿宋"/>
                <w:sz w:val="18"/>
                <w:szCs w:val="18"/>
                <w:lang w:eastAsia="zh-CN"/>
              </w:rPr>
              <w:t>公顷</w:t>
            </w:r>
            <w:r>
              <w:rPr>
                <w:rFonts w:hint="eastAsia" w:ascii="仿宋" w:hAnsi="仿宋" w:eastAsia="仿宋" w:cs="仿宋"/>
                <w:sz w:val="18"/>
                <w:szCs w:val="18"/>
              </w:rPr>
              <w:t>平均产量12490.5kg,比对照大丰30增产13.5%；2016年</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2017</w:t>
            </w:r>
            <w:r>
              <w:rPr>
                <w:rFonts w:hint="eastAsia" w:ascii="仿宋" w:hAnsi="仿宋" w:eastAsia="仿宋" w:cs="仿宋"/>
                <w:sz w:val="18"/>
                <w:szCs w:val="18"/>
              </w:rPr>
              <w:t>参加山西省春播早熟区区域试验，比对照大丰30增产13.3%,</w:t>
            </w:r>
            <w:r>
              <w:rPr>
                <w:rFonts w:hint="eastAsia" w:ascii="仿宋" w:hAnsi="仿宋" w:eastAsia="仿宋" w:cs="仿宋"/>
                <w:sz w:val="18"/>
                <w:szCs w:val="18"/>
                <w:lang w:eastAsia="zh-CN"/>
              </w:rPr>
              <w:t>，</w:t>
            </w:r>
            <w:r>
              <w:rPr>
                <w:rFonts w:hint="eastAsia" w:ascii="仿宋" w:hAnsi="仿宋" w:eastAsia="仿宋" w:cs="仿宋"/>
                <w:sz w:val="18"/>
                <w:szCs w:val="18"/>
              </w:rPr>
              <w:t>增产点次均为100%，具有广泛适应性。青卓918的选育丰富了我国单粒精播机收型玉米种质，改变了传统玉米种植模式，提高</w:t>
            </w:r>
            <w:r>
              <w:rPr>
                <w:rFonts w:hint="eastAsia" w:ascii="仿宋" w:hAnsi="仿宋" w:eastAsia="仿宋" w:cs="仿宋"/>
                <w:sz w:val="18"/>
                <w:szCs w:val="18"/>
                <w:lang w:eastAsia="zh-CN"/>
              </w:rPr>
              <w:t>了</w:t>
            </w:r>
            <w:r>
              <w:rPr>
                <w:rFonts w:hint="eastAsia" w:ascii="仿宋" w:hAnsi="仿宋" w:eastAsia="仿宋" w:cs="仿宋"/>
                <w:sz w:val="18"/>
                <w:szCs w:val="18"/>
              </w:rPr>
              <w:t>单产和效率</w:t>
            </w:r>
            <w:r>
              <w:rPr>
                <w:rFonts w:hint="eastAsia" w:ascii="仿宋" w:hAnsi="仿宋" w:eastAsia="仿宋" w:cs="仿宋"/>
                <w:sz w:val="18"/>
                <w:szCs w:val="18"/>
                <w:lang w:eastAsia="zh-CN"/>
              </w:rPr>
              <w:t>，</w:t>
            </w:r>
            <w:r>
              <w:rPr>
                <w:rFonts w:hint="eastAsia" w:ascii="仿宋" w:hAnsi="仿宋" w:eastAsia="仿宋" w:cs="仿宋"/>
                <w:sz w:val="18"/>
                <w:szCs w:val="18"/>
              </w:rPr>
              <w:t>于2018年通过山西省农作物品种审定委员会审定，并在生产上推广应用。2020年通过内蒙古自治区农作物审定委员会引种认定。</w:t>
            </w:r>
          </w:p>
        </w:tc>
        <w:tc>
          <w:tcPr>
            <w:tcW w:w="1825" w:type="dxa"/>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玉米优质品种“青卓918”20</w:t>
            </w:r>
            <w:r>
              <w:rPr>
                <w:rFonts w:hint="eastAsia" w:ascii="仿宋" w:hAnsi="仿宋" w:eastAsia="仿宋" w:cs="仿宋"/>
                <w:sz w:val="18"/>
                <w:szCs w:val="18"/>
                <w:lang w:val="en-US" w:eastAsia="zh-CN"/>
              </w:rPr>
              <w:t>20</w:t>
            </w:r>
            <w:r>
              <w:rPr>
                <w:rFonts w:hint="eastAsia" w:ascii="仿宋" w:hAnsi="仿宋" w:eastAsia="仿宋" w:cs="仿宋"/>
                <w:sz w:val="18"/>
                <w:szCs w:val="18"/>
                <w:lang w:eastAsia="zh-CN"/>
              </w:rPr>
              <w:t>—202</w:t>
            </w:r>
            <w:r>
              <w:rPr>
                <w:rFonts w:hint="eastAsia" w:ascii="仿宋" w:hAnsi="仿宋" w:eastAsia="仿宋" w:cs="仿宋"/>
                <w:sz w:val="18"/>
                <w:szCs w:val="18"/>
                <w:lang w:val="en-US" w:eastAsia="zh-CN"/>
              </w:rPr>
              <w:t>2</w:t>
            </w:r>
            <w:r>
              <w:rPr>
                <w:rFonts w:hint="eastAsia" w:ascii="仿宋" w:hAnsi="仿宋" w:eastAsia="仿宋" w:cs="仿宋"/>
                <w:sz w:val="18"/>
                <w:szCs w:val="18"/>
                <w:lang w:eastAsia="zh-CN"/>
              </w:rPr>
              <w:t>年青卓918累计推广面积</w:t>
            </w:r>
            <w:r>
              <w:rPr>
                <w:rFonts w:hint="eastAsia" w:ascii="仿宋" w:hAnsi="仿宋" w:eastAsia="仿宋" w:cs="仿宋"/>
                <w:sz w:val="18"/>
                <w:szCs w:val="18"/>
                <w:lang w:val="en-US" w:eastAsia="zh-CN"/>
              </w:rPr>
              <w:t>1703</w:t>
            </w:r>
            <w:r>
              <w:rPr>
                <w:rFonts w:hint="eastAsia" w:ascii="仿宋" w:hAnsi="仿宋" w:eastAsia="仿宋" w:cs="仿宋"/>
                <w:sz w:val="18"/>
                <w:szCs w:val="18"/>
                <w:lang w:eastAsia="zh-CN"/>
              </w:rPr>
              <w:t>万亩，新增玉米</w:t>
            </w:r>
            <w:r>
              <w:rPr>
                <w:rFonts w:hint="eastAsia" w:ascii="仿宋" w:hAnsi="仿宋" w:eastAsia="仿宋" w:cs="仿宋"/>
                <w:sz w:val="18"/>
                <w:szCs w:val="18"/>
                <w:lang w:val="en-US" w:eastAsia="zh-CN"/>
              </w:rPr>
              <w:t>61656</w:t>
            </w:r>
            <w:r>
              <w:rPr>
                <w:rFonts w:hint="eastAsia" w:ascii="仿宋" w:hAnsi="仿宋" w:eastAsia="仿宋" w:cs="仿宋"/>
                <w:sz w:val="18"/>
                <w:szCs w:val="18"/>
                <w:lang w:eastAsia="zh-CN"/>
              </w:rPr>
              <w:t>万公斤，新增产值</w:t>
            </w:r>
            <w:r>
              <w:rPr>
                <w:rFonts w:hint="eastAsia" w:ascii="仿宋" w:hAnsi="仿宋" w:eastAsia="仿宋" w:cs="仿宋"/>
                <w:sz w:val="18"/>
                <w:szCs w:val="18"/>
                <w:lang w:val="en-US" w:eastAsia="zh-CN"/>
              </w:rPr>
              <w:t>92482</w:t>
            </w:r>
            <w:r>
              <w:rPr>
                <w:rFonts w:hint="eastAsia" w:ascii="仿宋" w:hAnsi="仿宋" w:eastAsia="仿宋" w:cs="仿宋"/>
                <w:sz w:val="18"/>
                <w:szCs w:val="18"/>
                <w:lang w:eastAsia="zh-CN"/>
              </w:rPr>
              <w:t>万元，对促进我省乃至全国同类生态区玉米精播机收型玉米新品种的大面积推广，品种更新换代，农民增产增效以及产业化和集约化的发展起到了积极的促进作用。</w:t>
            </w:r>
          </w:p>
        </w:tc>
        <w:tc>
          <w:tcPr>
            <w:tcW w:w="589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仿宋" w:hAnsi="仿宋" w:eastAsia="仿宋" w:cs="仿宋"/>
                <w:b/>
                <w:bCs/>
                <w:sz w:val="18"/>
                <w:szCs w:val="18"/>
              </w:rPr>
            </w:pPr>
            <w:r>
              <w:rPr>
                <w:rFonts w:hint="eastAsia" w:ascii="仿宋" w:hAnsi="仿宋" w:eastAsia="仿宋" w:cs="仿宋"/>
                <w:b/>
                <w:bCs/>
                <w:sz w:val="18"/>
                <w:szCs w:val="18"/>
                <w:lang w:eastAsia="zh-CN"/>
              </w:rPr>
              <w:t>新</w:t>
            </w:r>
            <w:r>
              <w:rPr>
                <w:rFonts w:hint="eastAsia" w:ascii="仿宋" w:hAnsi="仿宋" w:eastAsia="仿宋" w:cs="仿宋"/>
                <w:b/>
                <w:bCs/>
                <w:sz w:val="18"/>
                <w:szCs w:val="18"/>
              </w:rPr>
              <w:t>品种：</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val="en-US" w:eastAsia="zh-CN"/>
              </w:rPr>
              <w:t>.</w:t>
            </w:r>
            <w:r>
              <w:rPr>
                <w:rFonts w:hint="eastAsia" w:ascii="仿宋" w:hAnsi="仿宋" w:eastAsia="仿宋" w:cs="仿宋"/>
                <w:sz w:val="18"/>
                <w:szCs w:val="18"/>
                <w:lang w:eastAsia="zh-CN"/>
              </w:rPr>
              <w:t>“</w:t>
            </w:r>
            <w:r>
              <w:rPr>
                <w:rFonts w:hint="eastAsia" w:ascii="仿宋" w:hAnsi="仿宋" w:eastAsia="仿宋" w:cs="仿宋"/>
                <w:sz w:val="18"/>
                <w:szCs w:val="18"/>
              </w:rPr>
              <w:t>青卓918</w:t>
            </w:r>
            <w:r>
              <w:rPr>
                <w:rFonts w:hint="eastAsia" w:ascii="仿宋" w:hAnsi="仿宋" w:eastAsia="仿宋" w:cs="仿宋"/>
                <w:sz w:val="18"/>
                <w:szCs w:val="18"/>
                <w:lang w:eastAsia="zh-CN"/>
              </w:rPr>
              <w:t>”</w:t>
            </w:r>
            <w:r>
              <w:rPr>
                <w:rFonts w:hint="eastAsia" w:ascii="仿宋" w:hAnsi="仿宋" w:eastAsia="仿宋" w:cs="仿宋"/>
                <w:sz w:val="18"/>
                <w:szCs w:val="18"/>
              </w:rPr>
              <w:t>2018年5月通过山西省农作物品种审定委员会审定，</w:t>
            </w:r>
            <w:r>
              <w:rPr>
                <w:rFonts w:hint="eastAsia" w:ascii="仿宋" w:hAnsi="仿宋" w:eastAsia="仿宋" w:cs="仿宋"/>
                <w:sz w:val="18"/>
                <w:szCs w:val="18"/>
                <w:lang w:eastAsia="zh-CN"/>
              </w:rPr>
              <w:t>审定</w:t>
            </w:r>
            <w:r>
              <w:rPr>
                <w:rFonts w:hint="eastAsia" w:ascii="仿宋" w:hAnsi="仿宋" w:eastAsia="仿宋" w:cs="仿宋"/>
                <w:sz w:val="18"/>
                <w:szCs w:val="18"/>
              </w:rPr>
              <w:t>编号：</w:t>
            </w:r>
            <w:r>
              <w:rPr>
                <w:rFonts w:hint="eastAsia" w:ascii="仿宋" w:hAnsi="仿宋" w:eastAsia="仿宋" w:cs="仿宋"/>
                <w:sz w:val="18"/>
                <w:szCs w:val="18"/>
                <w:lang w:eastAsia="zh-CN"/>
              </w:rPr>
              <w:t>晋审玉</w:t>
            </w:r>
            <w:r>
              <w:rPr>
                <w:rFonts w:hint="eastAsia" w:ascii="仿宋" w:hAnsi="仿宋" w:eastAsia="仿宋" w:cs="仿宋"/>
                <w:sz w:val="18"/>
                <w:szCs w:val="18"/>
                <w:lang w:val="en-US" w:eastAsia="zh-CN"/>
              </w:rPr>
              <w:t>20180011</w:t>
            </w:r>
            <w:r>
              <w:rPr>
                <w:rFonts w:hint="eastAsia" w:ascii="仿宋" w:hAnsi="仿宋" w:eastAsia="仿宋" w:cs="仿宋"/>
                <w:sz w:val="18"/>
                <w:szCs w:val="18"/>
              </w:rPr>
              <w:t>。</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w:t>
            </w:r>
            <w:r>
              <w:rPr>
                <w:rFonts w:hint="eastAsia" w:ascii="仿宋" w:hAnsi="仿宋" w:eastAsia="仿宋" w:cs="仿宋"/>
                <w:sz w:val="18"/>
                <w:szCs w:val="18"/>
                <w:lang w:eastAsia="zh-CN"/>
              </w:rPr>
              <w:t>“</w:t>
            </w:r>
            <w:r>
              <w:rPr>
                <w:rFonts w:hint="eastAsia" w:ascii="仿宋" w:hAnsi="仿宋" w:eastAsia="仿宋" w:cs="仿宋"/>
                <w:sz w:val="18"/>
                <w:szCs w:val="18"/>
              </w:rPr>
              <w:t>青卓918</w:t>
            </w:r>
            <w:r>
              <w:rPr>
                <w:rFonts w:hint="eastAsia" w:ascii="仿宋" w:hAnsi="仿宋" w:eastAsia="仿宋" w:cs="仿宋"/>
                <w:sz w:val="18"/>
                <w:szCs w:val="18"/>
                <w:lang w:eastAsia="zh-CN"/>
              </w:rPr>
              <w:t>”</w:t>
            </w:r>
            <w:r>
              <w:rPr>
                <w:rFonts w:hint="eastAsia" w:ascii="仿宋" w:hAnsi="仿宋" w:eastAsia="仿宋" w:cs="仿宋"/>
                <w:sz w:val="18"/>
                <w:szCs w:val="18"/>
              </w:rPr>
              <w:t>2020年3月通过内蒙古自治区农作物审定委员会引种认定，</w:t>
            </w:r>
            <w:r>
              <w:rPr>
                <w:rFonts w:hint="eastAsia" w:ascii="仿宋" w:hAnsi="仿宋" w:eastAsia="仿宋" w:cs="仿宋"/>
                <w:sz w:val="18"/>
                <w:szCs w:val="18"/>
                <w:lang w:eastAsia="zh-CN"/>
              </w:rPr>
              <w:t>审定</w:t>
            </w:r>
            <w:r>
              <w:rPr>
                <w:rFonts w:hint="eastAsia" w:ascii="仿宋" w:hAnsi="仿宋" w:eastAsia="仿宋" w:cs="仿宋"/>
                <w:sz w:val="18"/>
                <w:szCs w:val="18"/>
              </w:rPr>
              <w:t>编号：</w:t>
            </w:r>
            <w:r>
              <w:rPr>
                <w:rFonts w:hint="eastAsia" w:ascii="仿宋" w:hAnsi="仿宋" w:eastAsia="仿宋" w:cs="仿宋"/>
                <w:sz w:val="18"/>
                <w:szCs w:val="18"/>
                <w:lang w:eastAsia="zh-CN"/>
              </w:rPr>
              <w:t>蒙引玉</w:t>
            </w:r>
            <w:r>
              <w:rPr>
                <w:rFonts w:hint="eastAsia" w:ascii="仿宋" w:hAnsi="仿宋" w:eastAsia="仿宋" w:cs="仿宋"/>
                <w:sz w:val="18"/>
                <w:szCs w:val="18"/>
                <w:lang w:val="en-US" w:eastAsia="zh-CN"/>
              </w:rPr>
              <w:t>2</w:t>
            </w:r>
            <w:r>
              <w:rPr>
                <w:rFonts w:hint="eastAsia" w:ascii="仿宋" w:hAnsi="仿宋" w:eastAsia="仿宋" w:cs="仿宋"/>
                <w:sz w:val="18"/>
                <w:szCs w:val="18"/>
              </w:rPr>
              <w:t>020100。</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18"/>
                <w:szCs w:val="18"/>
              </w:rPr>
            </w:pP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b/>
                <w:bCs/>
                <w:sz w:val="18"/>
                <w:szCs w:val="18"/>
                <w:lang w:eastAsia="zh-CN"/>
              </w:rPr>
            </w:pPr>
            <w:r>
              <w:rPr>
                <w:rFonts w:hint="eastAsia" w:ascii="仿宋" w:hAnsi="仿宋" w:eastAsia="仿宋" w:cs="仿宋"/>
                <w:b/>
                <w:bCs/>
                <w:sz w:val="18"/>
                <w:szCs w:val="18"/>
                <w:lang w:eastAsia="zh-CN"/>
              </w:rPr>
              <w:t>学术论文：</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1.徐青松，徐劲松，骈跃斌，赵明.精播机收型玉米新品种青卓918号的选育及应用研究.</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2.徐青松，徐劲松.引种美国玉米杂交种的分析与思考.</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3.徐青松，徐劲松.玉米不同亲缘类型自交系抗旱研究.</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4.徐青松，徐劲松，张红梅，李欣，申媚贤，王志宏.不同中晚熟玉米品种机械粒收适宜收获期研究.</w:t>
            </w:r>
          </w:p>
        </w:tc>
        <w:tc>
          <w:tcPr>
            <w:tcW w:w="769" w:type="dxa"/>
            <w:vAlign w:val="center"/>
          </w:tcPr>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山西青卓玉米种子研究所</w:t>
            </w:r>
          </w:p>
        </w:tc>
        <w:tc>
          <w:tcPr>
            <w:tcW w:w="843" w:type="dxa"/>
            <w:vAlign w:val="center"/>
          </w:tcPr>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徐青松</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徐劲松</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杨</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敏</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rPr>
            </w:pPr>
            <w:r>
              <w:rPr>
                <w:rFonts w:hint="eastAsia" w:ascii="仿宋" w:hAnsi="仿宋" w:eastAsia="仿宋" w:cs="仿宋"/>
                <w:sz w:val="18"/>
                <w:szCs w:val="18"/>
                <w:lang w:eastAsia="zh-CN"/>
              </w:rPr>
              <w:t>路</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文</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骈跃斌</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郑国宏</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张红梅</w:t>
            </w:r>
          </w:p>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徐瑞洋</w:t>
            </w:r>
          </w:p>
        </w:tc>
        <w:tc>
          <w:tcPr>
            <w:tcW w:w="515" w:type="dxa"/>
            <w:vAlign w:val="center"/>
          </w:tcPr>
          <w:p>
            <w:pPr>
              <w:keepNext w:val="0"/>
              <w:keepLines w:val="0"/>
              <w:pageBreakBefore w:val="0"/>
              <w:widowControl w:val="0"/>
              <w:kinsoku/>
              <w:wordWrap/>
              <w:overflowPunct/>
              <w:topLinePunct w:val="0"/>
              <w:autoSpaceDE/>
              <w:autoSpaceDN/>
              <w:bidi w:val="0"/>
              <w:adjustRightInd/>
              <w:spacing w:line="260" w:lineRule="exact"/>
              <w:ind w:left="-105" w:leftChars="-50" w:right="-105" w:rightChars="-5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山西</w:t>
            </w:r>
            <w:r>
              <w:rPr>
                <w:rFonts w:hint="eastAsia" w:ascii="仿宋" w:hAnsi="仿宋" w:eastAsia="仿宋" w:cs="仿宋"/>
                <w:sz w:val="18"/>
                <w:szCs w:val="18"/>
                <w:lang w:eastAsia="zh-CN"/>
              </w:rPr>
              <w:t>省科学技术</w:t>
            </w:r>
            <w:r>
              <w:rPr>
                <w:rFonts w:hint="eastAsia" w:ascii="仿宋" w:hAnsi="仿宋" w:eastAsia="仿宋" w:cs="仿宋"/>
                <w:sz w:val="18"/>
                <w:szCs w:val="18"/>
              </w:rPr>
              <w:t>进步奖</w:t>
            </w:r>
          </w:p>
        </w:tc>
      </w:tr>
    </w:tbl>
    <w:p/>
    <w:p>
      <w:pPr>
        <w:bidi w:val="0"/>
        <w:rPr>
          <w:rFonts w:ascii="Calibri" w:hAnsi="Calibri" w:eastAsia="宋体" w:cs="Times New Roman"/>
          <w:kern w:val="2"/>
          <w:sz w:val="21"/>
          <w:szCs w:val="24"/>
          <w:lang w:val="en-US" w:eastAsia="zh-CN" w:bidi="ar-SA"/>
        </w:rPr>
      </w:pPr>
    </w:p>
    <w:p>
      <w:pPr>
        <w:tabs>
          <w:tab w:val="left" w:pos="3487"/>
        </w:tabs>
        <w:bidi w:val="0"/>
        <w:jc w:val="left"/>
        <w:rPr>
          <w:rFonts w:hint="eastAsia"/>
          <w:lang w:val="en-US" w:eastAsia="zh-CN"/>
        </w:rPr>
      </w:pPr>
      <w:r>
        <w:rPr>
          <w:rFonts w:hint="eastAsia"/>
          <w:lang w:val="en-US" w:eastAsia="zh-CN"/>
        </w:rPr>
        <w:tab/>
      </w:r>
    </w:p>
    <w:p>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企业技术创新奖</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1项</w:t>
      </w:r>
      <w:r>
        <w:rPr>
          <w:rFonts w:hint="eastAsia" w:ascii="仿宋" w:hAnsi="仿宋" w:eastAsia="仿宋" w:cs="仿宋"/>
          <w:b/>
          <w:bCs/>
          <w:color w:val="auto"/>
          <w:sz w:val="32"/>
          <w:szCs w:val="32"/>
          <w:lang w:eastAsia="zh-CN"/>
        </w:rPr>
        <w:t>）</w:t>
      </w:r>
    </w:p>
    <w:tbl>
      <w:tblPr>
        <w:tblStyle w:val="8"/>
        <w:tblW w:w="13791"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1365"/>
        <w:gridCol w:w="4829"/>
        <w:gridCol w:w="3598"/>
        <w:gridCol w:w="3049"/>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blHeader/>
        </w:trPr>
        <w:tc>
          <w:tcPr>
            <w:tcW w:w="532"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序号</w:t>
            </w:r>
          </w:p>
        </w:tc>
        <w:tc>
          <w:tcPr>
            <w:tcW w:w="136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企业名称</w:t>
            </w:r>
          </w:p>
        </w:tc>
        <w:tc>
          <w:tcPr>
            <w:tcW w:w="482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企业简介</w:t>
            </w:r>
          </w:p>
        </w:tc>
        <w:tc>
          <w:tcPr>
            <w:tcW w:w="359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企业创新发展情况及推广应用情况</w:t>
            </w:r>
          </w:p>
        </w:tc>
        <w:tc>
          <w:tcPr>
            <w:tcW w:w="304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主要知识产权证明目录</w:t>
            </w:r>
          </w:p>
        </w:tc>
        <w:tc>
          <w:tcPr>
            <w:tcW w:w="418" w:type="dxa"/>
            <w:noWrap w:val="0"/>
            <w:vAlign w:val="top"/>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b/>
                <w:color w:val="auto"/>
                <w:sz w:val="18"/>
                <w:szCs w:val="18"/>
              </w:rPr>
            </w:pPr>
            <w:r>
              <w:rPr>
                <w:rFonts w:hint="default"/>
                <w:b/>
                <w:color w:val="auto"/>
                <w:sz w:val="18"/>
                <w:szCs w:val="18"/>
              </w:rPr>
              <w:t>提名意见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7" w:hRule="atLeast"/>
        </w:trPr>
        <w:tc>
          <w:tcPr>
            <w:tcW w:w="532"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eastAsia="仿宋"/>
                <w:color w:val="auto"/>
                <w:w w:val="99"/>
                <w:sz w:val="18"/>
                <w:szCs w:val="18"/>
                <w:lang w:val="en-US" w:eastAsia="zh-CN"/>
              </w:rPr>
            </w:pPr>
            <w:r>
              <w:rPr>
                <w:rFonts w:hint="eastAsia"/>
                <w:color w:val="auto"/>
                <w:w w:val="99"/>
                <w:sz w:val="18"/>
                <w:szCs w:val="18"/>
                <w:lang w:val="en-US" w:eastAsia="zh-CN"/>
              </w:rPr>
              <w:t>1</w:t>
            </w:r>
          </w:p>
        </w:tc>
        <w:tc>
          <w:tcPr>
            <w:tcW w:w="1365"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71" w:leftChars="34" w:right="71" w:rightChars="34"/>
              <w:textAlignment w:val="auto"/>
              <w:rPr>
                <w:rFonts w:hint="eastAsia"/>
                <w:color w:val="auto"/>
                <w:sz w:val="18"/>
                <w:szCs w:val="18"/>
                <w:lang w:val="en-US" w:eastAsia="zh-CN"/>
              </w:rPr>
            </w:pPr>
            <w:r>
              <w:rPr>
                <w:rFonts w:hint="eastAsia"/>
                <w:color w:val="auto"/>
                <w:sz w:val="18"/>
                <w:szCs w:val="18"/>
                <w:lang w:val="en-US" w:eastAsia="zh-CN"/>
              </w:rPr>
              <w:t>山西稼祺农业科技有限公司</w:t>
            </w:r>
          </w:p>
        </w:tc>
        <w:tc>
          <w:tcPr>
            <w:tcW w:w="482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71" w:leftChars="34" w:right="71" w:rightChars="34" w:firstLine="360" w:firstLineChars="200"/>
              <w:textAlignment w:val="auto"/>
              <w:rPr>
                <w:rFonts w:hint="eastAsia"/>
                <w:color w:val="auto"/>
                <w:sz w:val="18"/>
                <w:szCs w:val="18"/>
                <w:lang w:val="en-US" w:eastAsia="zh-CN"/>
              </w:rPr>
            </w:pPr>
            <w:r>
              <w:rPr>
                <w:rFonts w:hint="eastAsia"/>
                <w:color w:val="auto"/>
                <w:sz w:val="18"/>
                <w:szCs w:val="18"/>
                <w:lang w:val="en-US" w:eastAsia="zh-CN"/>
              </w:rPr>
              <w:t>山西稼祺农业科技有限公司是一家致力于藜麦育种研发、种植推广、生产加工、市场运营为一体的全产业链运营公司的企业，是我国最早进行藜麦商业化种植的企业。目前拥有藜麦种质资源3200份，表型鉴定基地2个，标准化育种基地4个，育种基地面积150亩，已经实现了规模化生产藜麦原粮，是山西省第一家规模化种植藜麦的企业。公司具有高新技术企业资质，通过了粮食加工品生产经营许可。企业产品有藜麦米、藜麦面、藜麦手工挂面、藜麦酒等，主要应用于科研育种、农田种植、烘焙原料、家庭食用等方面。</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71" w:leftChars="34" w:right="71" w:rightChars="34" w:firstLine="360" w:firstLineChars="200"/>
              <w:textAlignment w:val="auto"/>
              <w:rPr>
                <w:rFonts w:hint="eastAsia"/>
                <w:color w:val="auto"/>
                <w:sz w:val="18"/>
                <w:szCs w:val="18"/>
                <w:lang w:val="en-US" w:eastAsia="zh-CN"/>
              </w:rPr>
            </w:pPr>
            <w:r>
              <w:rPr>
                <w:rFonts w:hint="eastAsia"/>
                <w:color w:val="auto"/>
                <w:sz w:val="18"/>
                <w:szCs w:val="18"/>
                <w:lang w:val="en-US" w:eastAsia="zh-CN"/>
              </w:rPr>
              <w:t>2021年9月15日,山西省农业厅组织有关专家组成专家组对公司培育的“稼祺100(晋认藜202002)”进行了示范田现场实打实收测产，籽粒亩产为251.02公斤。这是全省也是全国首个公示的藜麦产量，是山西省乃至全国藜麦产业发展的一个标志。该公司推出的藜麦米被评为山西省首届饭店业职业技能大赛暨第六届全国饭店业职业技能大赛选拔赛“推荐产品”，公司被朔州市平鲁区人民政府授予“脱贫攻坚先进集体”、公司被静乐县人民政府授予“新兴产业开发先进集体”。</w:t>
            </w:r>
            <w:bookmarkStart w:id="0" w:name="_GoBack"/>
            <w:bookmarkEnd w:id="0"/>
          </w:p>
        </w:tc>
        <w:tc>
          <w:tcPr>
            <w:tcW w:w="359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360"/>
              <w:jc w:val="both"/>
              <w:textAlignment w:val="auto"/>
              <w:rPr>
                <w:rFonts w:hint="eastAsia"/>
                <w:color w:val="auto"/>
                <w:sz w:val="18"/>
                <w:szCs w:val="18"/>
                <w:lang w:val="en-US" w:eastAsia="zh-CN"/>
              </w:rPr>
            </w:pPr>
            <w:r>
              <w:rPr>
                <w:rFonts w:hint="eastAsia"/>
                <w:color w:val="auto"/>
                <w:sz w:val="18"/>
                <w:szCs w:val="18"/>
                <w:lang w:val="en-US" w:eastAsia="zh-CN"/>
              </w:rPr>
              <w:t>该公司选育的“稼祺100”已于2012年开始在山西静乐县开展藜麦大规模商业化种植，与静乐县农业农村局签订了“稼祺100”种子采购合同：2021年签订20000袋250g/袋种子协议，种植面积约4万亩；2022年签订28000袋350g/袋种子协议，种植面积约5万亩。</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360"/>
              <w:jc w:val="both"/>
              <w:textAlignment w:val="auto"/>
              <w:rPr>
                <w:rFonts w:hint="default"/>
                <w:color w:val="auto"/>
                <w:sz w:val="18"/>
                <w:szCs w:val="18"/>
                <w:lang w:val="en-US" w:eastAsia="zh-CN"/>
              </w:rPr>
            </w:pPr>
            <w:r>
              <w:rPr>
                <w:rFonts w:hint="eastAsia"/>
                <w:color w:val="auto"/>
                <w:sz w:val="18"/>
                <w:szCs w:val="18"/>
                <w:lang w:val="en-US" w:eastAsia="zh-CN"/>
              </w:rPr>
              <w:t>该公司重点研发藜麦产品的加工工艺，建立加工车间，面积约10000平米，购买加工设备，总价值约800万元，顺利打造了“稼祺藜麦”品牌，设计了营销方案，完成了线上和线下销售网络的搭建，目前年销售藜麦350吨，2019年实现销售收入2000万元，较上年增长30%，产业链中能够带动就业人数300余人，是山西省扶持和带动农户实现藜麦种植地域产业化、打造藜麦品牌的带头企业。</w:t>
            </w:r>
          </w:p>
        </w:tc>
        <w:tc>
          <w:tcPr>
            <w:tcW w:w="3049"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b/>
                <w:bCs/>
                <w:color w:val="auto"/>
                <w:sz w:val="18"/>
                <w:szCs w:val="18"/>
                <w:lang w:val="en-US" w:eastAsia="zh-CN"/>
              </w:rPr>
            </w:pPr>
            <w:r>
              <w:rPr>
                <w:rFonts w:hint="eastAsia" w:ascii="仿宋" w:hAnsi="仿宋" w:eastAsia="仿宋" w:cs="仿宋"/>
                <w:b/>
                <w:bCs/>
                <w:color w:val="auto"/>
                <w:sz w:val="18"/>
                <w:szCs w:val="18"/>
              </w:rPr>
              <w:t>发明专利：</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1.一种藜麦人工精准杂交方法</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ZL201910133468.0</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p>
          <w:p>
            <w:pPr>
              <w:pStyle w:val="11"/>
              <w:keepNext w:val="0"/>
              <w:keepLines w:val="0"/>
              <w:pageBreakBefore w:val="0"/>
              <w:suppressLineNumbers w:val="0"/>
              <w:kinsoku/>
              <w:wordWrap/>
              <w:overflowPunct/>
              <w:topLinePunct w:val="0"/>
              <w:autoSpaceDE/>
              <w:autoSpaceDN/>
              <w:bidi w:val="0"/>
              <w:adjustRightInd/>
              <w:spacing w:before="0" w:beforeAutospacing="0" w:after="0" w:afterAutospacing="0" w:line="200" w:lineRule="exact"/>
              <w:ind w:left="-31" w:leftChars="-15" w:right="-31" w:rightChars="-15"/>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实用新型专利：</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1.藜麦清洗加工中的快速脱水设备</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r>
              <w:rPr>
                <w:rFonts w:hint="eastAsia"/>
                <w:color w:val="auto"/>
                <w:sz w:val="18"/>
                <w:szCs w:val="18"/>
                <w:lang w:val="en-US" w:eastAsia="zh-CN"/>
              </w:rPr>
              <w:t>ZL202021969517.9</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2.一种藜麦低温烘干系统</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r>
              <w:rPr>
                <w:rFonts w:hint="eastAsia"/>
                <w:color w:val="auto"/>
                <w:sz w:val="18"/>
                <w:szCs w:val="18"/>
                <w:lang w:val="en-US" w:eastAsia="zh-CN"/>
              </w:rPr>
              <w:t>ZL202021813408.8</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3.一种藜麦加工过程中的去皂苷系统</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r>
              <w:rPr>
                <w:rFonts w:hint="eastAsia"/>
                <w:color w:val="auto"/>
                <w:sz w:val="18"/>
                <w:szCs w:val="18"/>
                <w:lang w:val="en-US" w:eastAsia="zh-CN"/>
              </w:rPr>
              <w:t>ZL202021813410.5</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4.用于藜麦的快速清洗设备</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r>
              <w:rPr>
                <w:rFonts w:hint="eastAsia"/>
                <w:color w:val="auto"/>
                <w:sz w:val="18"/>
                <w:szCs w:val="18"/>
                <w:lang w:val="en-US" w:eastAsia="zh-CN"/>
              </w:rPr>
              <w:t>ZL202021549833.0</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color w:val="auto"/>
                <w:sz w:val="18"/>
                <w:szCs w:val="18"/>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b/>
                <w:bCs/>
                <w:color w:val="auto"/>
                <w:sz w:val="18"/>
                <w:szCs w:val="18"/>
                <w:lang w:val="en-US" w:eastAsia="zh-CN"/>
              </w:rPr>
            </w:pPr>
            <w:r>
              <w:rPr>
                <w:rFonts w:hint="eastAsia"/>
                <w:b/>
                <w:bCs/>
                <w:color w:val="auto"/>
                <w:sz w:val="18"/>
                <w:szCs w:val="18"/>
                <w:lang w:val="en-US" w:eastAsia="zh-CN"/>
              </w:rPr>
              <w:t>新品种：</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color w:val="auto"/>
                <w:sz w:val="18"/>
                <w:szCs w:val="18"/>
                <w:lang w:val="en-US" w:eastAsia="zh-CN"/>
              </w:rPr>
            </w:pPr>
            <w:r>
              <w:rPr>
                <w:rFonts w:hint="eastAsia"/>
                <w:color w:val="auto"/>
                <w:sz w:val="18"/>
                <w:szCs w:val="18"/>
                <w:lang w:val="en-US" w:eastAsia="zh-CN"/>
              </w:rPr>
              <w:t>1.“稼祺100”</w:t>
            </w:r>
            <w:r>
              <w:rPr>
                <w:rFonts w:hint="eastAsia" w:ascii="仿宋" w:hAnsi="仿宋" w:eastAsia="仿宋" w:cs="仿宋"/>
                <w:sz w:val="18"/>
                <w:szCs w:val="18"/>
              </w:rPr>
              <w:t>20</w:t>
            </w:r>
            <w:r>
              <w:rPr>
                <w:rFonts w:hint="eastAsia" w:cs="仿宋"/>
                <w:sz w:val="18"/>
                <w:szCs w:val="18"/>
                <w:lang w:val="en-US" w:eastAsia="zh-CN"/>
              </w:rPr>
              <w:t>21</w:t>
            </w:r>
            <w:r>
              <w:rPr>
                <w:rFonts w:hint="eastAsia" w:ascii="仿宋" w:hAnsi="仿宋" w:eastAsia="仿宋" w:cs="仿宋"/>
                <w:sz w:val="18"/>
                <w:szCs w:val="18"/>
              </w:rPr>
              <w:t>年</w:t>
            </w:r>
            <w:r>
              <w:rPr>
                <w:rFonts w:hint="eastAsia" w:cs="仿宋"/>
                <w:sz w:val="18"/>
                <w:szCs w:val="18"/>
                <w:lang w:val="en-US" w:eastAsia="zh-CN"/>
              </w:rPr>
              <w:t>1</w:t>
            </w:r>
            <w:r>
              <w:rPr>
                <w:rFonts w:hint="eastAsia" w:ascii="仿宋" w:hAnsi="仿宋" w:eastAsia="仿宋" w:cs="仿宋"/>
                <w:sz w:val="18"/>
                <w:szCs w:val="18"/>
              </w:rPr>
              <w:t>月通过山西省农作物品种审定委员会审定，</w:t>
            </w:r>
            <w:r>
              <w:rPr>
                <w:rFonts w:hint="eastAsia" w:cs="仿宋"/>
                <w:sz w:val="18"/>
                <w:szCs w:val="18"/>
                <w:lang w:eastAsia="zh-CN"/>
              </w:rPr>
              <w:t>认定编</w:t>
            </w:r>
            <w:r>
              <w:rPr>
                <w:rFonts w:hint="eastAsia"/>
                <w:color w:val="auto"/>
                <w:sz w:val="18"/>
                <w:szCs w:val="18"/>
                <w:lang w:val="en-US" w:eastAsia="zh-CN"/>
              </w:rPr>
              <w:t>号：晋认藜202002</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Verdana" w:hAnsi="Verdana" w:eastAsia="宋体" w:cs="Verdana"/>
                <w:color w:val="333333"/>
                <w:sz w:val="20"/>
                <w:szCs w:val="20"/>
                <w:lang w:val="en-US" w:eastAsia="zh-CN"/>
              </w:rPr>
            </w:pPr>
            <w:r>
              <w:rPr>
                <w:rFonts w:hint="eastAsia"/>
                <w:color w:val="auto"/>
                <w:sz w:val="18"/>
                <w:szCs w:val="18"/>
                <w:lang w:val="en-US" w:eastAsia="zh-CN"/>
              </w:rPr>
              <w:t>2.“稼祺早熟藜1号”</w:t>
            </w:r>
            <w:r>
              <w:rPr>
                <w:rFonts w:hint="eastAsia" w:ascii="仿宋" w:hAnsi="仿宋" w:eastAsia="仿宋" w:cs="仿宋"/>
                <w:sz w:val="18"/>
                <w:szCs w:val="18"/>
              </w:rPr>
              <w:t>20</w:t>
            </w:r>
            <w:r>
              <w:rPr>
                <w:rFonts w:hint="eastAsia" w:cs="仿宋"/>
                <w:sz w:val="18"/>
                <w:szCs w:val="18"/>
                <w:lang w:val="en-US" w:eastAsia="zh-CN"/>
              </w:rPr>
              <w:t>22</w:t>
            </w:r>
            <w:r>
              <w:rPr>
                <w:rFonts w:hint="eastAsia" w:ascii="仿宋" w:hAnsi="仿宋" w:eastAsia="仿宋" w:cs="仿宋"/>
                <w:sz w:val="18"/>
                <w:szCs w:val="18"/>
              </w:rPr>
              <w:t>年</w:t>
            </w:r>
            <w:r>
              <w:rPr>
                <w:rFonts w:hint="eastAsia" w:cs="仿宋"/>
                <w:sz w:val="18"/>
                <w:szCs w:val="18"/>
                <w:lang w:val="en-US" w:eastAsia="zh-CN"/>
              </w:rPr>
              <w:t>11</w:t>
            </w:r>
            <w:r>
              <w:rPr>
                <w:rFonts w:hint="eastAsia" w:ascii="仿宋" w:hAnsi="仿宋" w:eastAsia="仿宋" w:cs="仿宋"/>
                <w:sz w:val="18"/>
                <w:szCs w:val="18"/>
              </w:rPr>
              <w:t>月通过山西省农作物品种审定委员会审定，</w:t>
            </w:r>
            <w:r>
              <w:rPr>
                <w:rFonts w:hint="eastAsia" w:cs="仿宋"/>
                <w:sz w:val="18"/>
                <w:szCs w:val="18"/>
                <w:lang w:eastAsia="zh-CN"/>
              </w:rPr>
              <w:t>认定编</w:t>
            </w:r>
            <w:r>
              <w:rPr>
                <w:rFonts w:hint="eastAsia"/>
                <w:color w:val="auto"/>
                <w:sz w:val="18"/>
                <w:szCs w:val="18"/>
                <w:lang w:val="en-US" w:eastAsia="zh-CN"/>
              </w:rPr>
              <w:t>号：晋认杂粮202219</w:t>
            </w:r>
            <w:r>
              <w:rPr>
                <w:rFonts w:hint="eastAsia" w:ascii="Verdana" w:hAnsi="Verdana" w:eastAsia="宋体" w:cs="Verdana"/>
                <w:color w:val="333333"/>
                <w:sz w:val="20"/>
                <w:szCs w:val="20"/>
                <w:lang w:eastAsia="zh-CN"/>
              </w:rPr>
              <w:t>。</w:t>
            </w:r>
          </w:p>
        </w:tc>
        <w:tc>
          <w:tcPr>
            <w:tcW w:w="418" w:type="dxa"/>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山西省企业技术创新奖</w:t>
            </w:r>
          </w:p>
        </w:tc>
      </w:tr>
    </w:tbl>
    <w:p/>
    <w:p>
      <w:pPr>
        <w:tabs>
          <w:tab w:val="left" w:pos="3487"/>
        </w:tabs>
        <w:bidi w:val="0"/>
        <w:jc w:val="left"/>
        <w:rPr>
          <w:rFonts w:hint="eastAsia"/>
          <w:lang w:val="en-US" w:eastAsia="zh-CN"/>
        </w:rPr>
      </w:pPr>
    </w:p>
    <w:sectPr>
      <w:footerReference r:id="rId3" w:type="default"/>
      <w:pgSz w:w="16838" w:h="11906" w:orient="landscape"/>
      <w:pgMar w:top="1417" w:right="1440" w:bottom="141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mMxYjM0NWRmOGJkMzk3OWIzYmEyMTY4MjBhMDQifQ=="/>
  </w:docVars>
  <w:rsids>
    <w:rsidRoot w:val="3AC202EE"/>
    <w:rsid w:val="00661746"/>
    <w:rsid w:val="006D0CE9"/>
    <w:rsid w:val="009329E9"/>
    <w:rsid w:val="00960D87"/>
    <w:rsid w:val="00C14D60"/>
    <w:rsid w:val="00C326CF"/>
    <w:rsid w:val="00F56F84"/>
    <w:rsid w:val="018C519F"/>
    <w:rsid w:val="02C00E90"/>
    <w:rsid w:val="0397158C"/>
    <w:rsid w:val="05094D59"/>
    <w:rsid w:val="058B2628"/>
    <w:rsid w:val="05EC0902"/>
    <w:rsid w:val="07890DE8"/>
    <w:rsid w:val="080812F8"/>
    <w:rsid w:val="09B329F7"/>
    <w:rsid w:val="0B9B4146"/>
    <w:rsid w:val="0DFE5677"/>
    <w:rsid w:val="0E28021A"/>
    <w:rsid w:val="10493E45"/>
    <w:rsid w:val="10EA7C1D"/>
    <w:rsid w:val="139705EA"/>
    <w:rsid w:val="1548367B"/>
    <w:rsid w:val="18356139"/>
    <w:rsid w:val="186B3909"/>
    <w:rsid w:val="189C7F66"/>
    <w:rsid w:val="199C7AF2"/>
    <w:rsid w:val="1AAF0857"/>
    <w:rsid w:val="1B830557"/>
    <w:rsid w:val="1E1F5753"/>
    <w:rsid w:val="1E636E30"/>
    <w:rsid w:val="1F114ADE"/>
    <w:rsid w:val="1F7807AF"/>
    <w:rsid w:val="213C0FBB"/>
    <w:rsid w:val="21B14BD7"/>
    <w:rsid w:val="21CD1190"/>
    <w:rsid w:val="21FC3824"/>
    <w:rsid w:val="22AA736D"/>
    <w:rsid w:val="24613E12"/>
    <w:rsid w:val="24641BC2"/>
    <w:rsid w:val="2617030E"/>
    <w:rsid w:val="267E5A4E"/>
    <w:rsid w:val="270E75A2"/>
    <w:rsid w:val="2BB46F1D"/>
    <w:rsid w:val="2EDB42EF"/>
    <w:rsid w:val="2F32722F"/>
    <w:rsid w:val="340D366E"/>
    <w:rsid w:val="34346E4D"/>
    <w:rsid w:val="34BB3A10"/>
    <w:rsid w:val="36D52E06"/>
    <w:rsid w:val="375B525D"/>
    <w:rsid w:val="3885408B"/>
    <w:rsid w:val="389771E3"/>
    <w:rsid w:val="3A34378D"/>
    <w:rsid w:val="3A3B679F"/>
    <w:rsid w:val="3AC202EE"/>
    <w:rsid w:val="3B273268"/>
    <w:rsid w:val="3C9654F5"/>
    <w:rsid w:val="3E802756"/>
    <w:rsid w:val="3EBD28FC"/>
    <w:rsid w:val="3FC840B3"/>
    <w:rsid w:val="41E43129"/>
    <w:rsid w:val="45E32481"/>
    <w:rsid w:val="46AD3081"/>
    <w:rsid w:val="46B71412"/>
    <w:rsid w:val="474F288B"/>
    <w:rsid w:val="47ED75E7"/>
    <w:rsid w:val="50DD31AE"/>
    <w:rsid w:val="522869EA"/>
    <w:rsid w:val="53242CF6"/>
    <w:rsid w:val="55571991"/>
    <w:rsid w:val="59085D97"/>
    <w:rsid w:val="5C1F6E31"/>
    <w:rsid w:val="5CA7000F"/>
    <w:rsid w:val="5F3E69CE"/>
    <w:rsid w:val="60A039E6"/>
    <w:rsid w:val="61C01FC9"/>
    <w:rsid w:val="627B3D15"/>
    <w:rsid w:val="629253D6"/>
    <w:rsid w:val="62A060DB"/>
    <w:rsid w:val="64162608"/>
    <w:rsid w:val="64DC3487"/>
    <w:rsid w:val="65221726"/>
    <w:rsid w:val="68D42D08"/>
    <w:rsid w:val="68DC4DE2"/>
    <w:rsid w:val="6B105EB6"/>
    <w:rsid w:val="6DB7C7CF"/>
    <w:rsid w:val="6DD97730"/>
    <w:rsid w:val="6F6D49E6"/>
    <w:rsid w:val="6F95081D"/>
    <w:rsid w:val="70337422"/>
    <w:rsid w:val="72D82EF8"/>
    <w:rsid w:val="72FC49FE"/>
    <w:rsid w:val="7375655F"/>
    <w:rsid w:val="749A1F5A"/>
    <w:rsid w:val="74CE23CA"/>
    <w:rsid w:val="74D93943"/>
    <w:rsid w:val="79383607"/>
    <w:rsid w:val="7AD63D87"/>
    <w:rsid w:val="7B4D01D8"/>
    <w:rsid w:val="7BA845BC"/>
    <w:rsid w:val="7BFC6AF6"/>
    <w:rsid w:val="7E346B9D"/>
    <w:rsid w:val="7F2A25AD"/>
    <w:rsid w:val="7F7ED074"/>
    <w:rsid w:val="BBBD23F1"/>
    <w:rsid w:val="CFF06FBB"/>
    <w:rsid w:val="EDAF0D79"/>
    <w:rsid w:val="EFFBE2D1"/>
    <w:rsid w:val="FCE922AF"/>
    <w:rsid w:val="FD6FB4B3"/>
    <w:rsid w:val="FFEEC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4">
    <w:name w:val="Normal Indent"/>
    <w:basedOn w:val="1"/>
    <w:qFormat/>
    <w:uiPriority w:val="0"/>
    <w:pPr>
      <w:widowControl/>
      <w:ind w:firstLine="420"/>
      <w:jc w:val="left"/>
    </w:pPr>
    <w:rPr>
      <w:kern w:val="0"/>
      <w:szCs w:val="20"/>
    </w:rPr>
  </w:style>
  <w:style w:type="paragraph" w:styleId="5">
    <w:name w:val="Body Text"/>
    <w:basedOn w:val="1"/>
    <w:qFormat/>
    <w:uiPriority w:val="1"/>
    <w:pPr>
      <w:ind w:left="118"/>
      <w:jc w:val="left"/>
    </w:pPr>
    <w:rPr>
      <w:rFonts w:ascii="宋体" w:hAnsi="宋体" w:cstheme="minorBidi"/>
      <w:kern w:val="0"/>
      <w:sz w:val="28"/>
      <w:szCs w:val="28"/>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仿宋" w:hAnsi="仿宋" w:eastAsia="仿宋" w:cs="仿宋"/>
      <w:lang w:val="zh-CN" w:bidi="zh-CN"/>
    </w:rPr>
  </w:style>
  <w:style w:type="character" w:customStyle="1" w:styleId="12">
    <w:name w:val="页眉 字符"/>
    <w:basedOn w:val="10"/>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1536</Words>
  <Characters>8756</Characters>
  <Lines>72</Lines>
  <Paragraphs>20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2022-05-07T17:06:00Z</dcterms:created>
  <dc:creator>jhc103</dc:creator>
  <cp:lastModifiedBy>jhc103</cp:lastModifiedBy>
  <cp:lastPrinted>2023-10-14T10:00:14Z</cp:lastPrinted>
  <dcterms:modified xsi:type="dcterms:W3CDTF">2023-10-14T10:54:46Z</dcterms:modified>
  <dc:title>太原市“2023年度山西省科学技术奖”拟提名项目（04项）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0D10B0B299D04F8AA8E0EE83DBD6EC98_13</vt:lpwstr>
  </property>
</Properties>
</file>