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促进山西省知识产权质押融资服务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高质量发展实施方案</w:t>
      </w:r>
      <w:bookmarkStart w:id="0" w:name="_GoBack"/>
      <w:bookmarkEnd w:id="0"/>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为贯彻落实《知识产权强省建设纲要（2021-2025）》（晋发〔2022〕19 号）《山西省“十四五”知识产权保护和运用规划》（晋政发〔2022〕13 号）《关于进一步加强知识产权质押融资工作的通知》（银保监发〔2019〕34 号）《知识产权质押融资入园惠企行动方案（2021-2023 年）》（国知发运字〔2021〕17 号）精神，进一步支持知识产权质押融资工作，发挥金融工作促进知识产权价值实现的重要作用，促进我省创新型中小企业发展，特制定本方案。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一、建立协同联动推进机制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知识产权质押融资相关主管部门的工作协同机制，强化跨部门信息数据共享，围绕知识产权质押融资相关的评估、担保、登记、贷款等各个环节，研究制定和完善省、市两级政策支持体系，规范知识产权质押的工作流程，加快知识产权质押登记手续办理，确保有关知识产权金融政策切实高效落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二、创新知识产权质押融资产品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知识产权质押融资新模式，重点推动金融机构扩大金融产品。鼓励银行机构扩宽企业融资渠道、健全质押贷款模式，力争实现专利、商标、著作权等知识产权质押融资范围全覆盖。支持保险公司丰富产品供给，不断开拓知识产权领域相关保险业务，提高服务保障水平。支持政府性融资担保机构持续为知识产权质押融资业务提供担保服务，实现知识产权质押融资的风险分担。鼓励银行机构积极与政府性融资担保机构合作，采用知识产权质押+担保（保证保险）等组合担保融资模式，提高企业知识产权质押授信额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三、优化知识产权质押贷款金融服务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相关金融机构与各级知识产权管理部门开展合作，优化知识产权质押融资相关的新服务，在风险可控的前提下扩大知识产权质押贷款规模。推动银行进一步建立健全适应知识产权质押融资特点的授信尽职免责机制、尽职调查机制和内部考核评价机制，对开展知识产权质押融资不良率高出自身各项贷款不良率 3个百分点（含）以内的基层机构，可不作为内部考核评价的扣分因素，对经办人员在业务办理过程中已经尽职履责的，实行免责。适时将银行机构完成知识产权质押融资情况纳入各银行机构年度评价及银行业金融机构对地方经济社会支持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四、构建知识产权质押融资快速通道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山西省知识产权金融服务平台，进一步优化知识产权质押融资服务，加大线上办理比例。鼓励金融机构参与知识产权质押融资相关工作，探索构建知识产权质押融资“贷前辅导-贷品选择-还款监测-质押补贴”全链条服务体系，实现“一站式”服务。国家知识产权局专利局太原代办处设立知识产权质押登记“服务专岗”，专人全程指导办理登记，提升知识产权质押登记办理质量和效率。鼓励金融机构进一步优化符合质押要求的版权质押融资流程，提高审贷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五、提升企业知识产权质押贷款积极性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制订全省统一的知识产权质押融资工作指引，逐步规范全省知识产权金融扶持政策标准，优化申报流程，形成长效机制，通过部门联动、政策引导、资金支持、服务升级等方式，积极引导企业通过知识产权质押获得贷款。支持创新型中小企业通过专利、商标、著作权等知识产权质押方式从银行等金融机构获得融资。对于符合条件并获得银行知识产权质押贷款的企业给予一定比例的贴息补助。对其他符合知识产权质押融资补助条件评估费、担保费以及保险等费用给予一定比例的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六、探索建立知识产权质押融资风险分担机制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设立省级知识产权质押融资风险补偿基金，对银行、担保、保险机构等单独或组合为企业提供知识产权质押融资服务且贷款发生不良的，按照本金中银行、担保、保险机构各自承担风险部分按一定比例对相关机构进行风险补偿。若担保或保险机构已购买再担保或再保险等分散风险产品，需将已分散风险部分资金从代偿或赔付计算基数中扣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七、建立健全知识产权质物处置流转体系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我省权益类地方交易场所，探索建设知识产权质物处置平台，建立健全知识产权质押融资的质物市场化处置机制。鼓励银行等金融机构联合知识产权运营机构对质物进行转移转化，进一步丰富知识产权质物处置的市场化形式和渠道，促进知识产权公开交易流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八、精准服务知识产权质押融资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知识产权质押融资数据共享，探索企业“白名单”制度，建立完善政府与金融机构间质押企业双向推送机制，加强与银行间知识产权质押数据信息互通。鼓励金融机构使用以知识产权信息为核心指标的分析工具，并应用到创新产品或服务中。加强对融资企业的跟踪调查和统计监测，通过对企业金融产品满意度调查，促进金融机构完善和创新相关服务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九、加强培养知识产权质押融资专业人才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知识产权质押融资人才培育工作，鼓励金融机构积极参与培养知识产权质押融资专门人才，积极参与知识产权质押融资实务人才培训，培养知识产权交易运营实务人才。组织银行、担保公司、知识产权服务机构和企业开展知识产权质押融资座谈会、论坛等活动，进一步提高高质量服务保障。依托山西省知识产权金融服务平台，建设知识产权金融专家库，为我省有关部门和金融机构推动知识产权质押融资工作提供有力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十、开展知识产权质押融资专项对接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金融机构开展知识产权质押融资“入园惠企”专项行动，通过政策宣讲、融资产品推介等活动，积极对接辖内有意向通过知识产权质押贷款的企业，开展走访调研，对轻资产、高成长性的中小企业进行针对性指导，通过搭建“政银企保”桥梁，提升政府和金融机构的服务效能和对接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十一、加强知识产权质押融资宣传推广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知识产权服务万里行”“知识产权宣传周”等活动，发挥“互联网+”优势，通过全国知识产权质押信息平台、山西省知识产权金融服务平台和国家知识产权局专利局太原代办处等线上线下结合方式，做好信息查询和金融产品汇集展示，畅通企业贷款渠道，提供融资产品推广、政策咨询、质押、登记查询等综合服务。开展企业知识产权融资需求调研，形成常态化收集机制，建设知识产权融资项目需求库，全面打通金融机构与企业供需对接渠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十二、健全知识产权质押融资工作保障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省知识产权局、省版权局、省财政厅、省小企业局、省地方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监管局、国家金融监督管理总局山西监管局和人行太原中心支行组成山西省知识产权质押融资服务高质量发展工作联席会，每年不定期召开联席会议。联席会办公室设在省知识产权局。省知识产权局统筹开展知识产权质押融资工作，省财政厅提供资金支持，国家金融监督管理总局山西监管局、省地方金融监管局、人行太原中心支行等部门提供政策指导，全力加强组织保障和资金保障。充分调动综改示范区及各市县区和金融机构积极性，共同推动山西省知识产权质押融资相关支持政策落地。省知识产权局具体负责相关工作的组织实施和推进落实。</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送：各市知识产权局、版权部门、财政局、中小企业主管部门、金融办，山西综改示范区管委会、市场监管局，国家金融监督管理总局山西各监管局，中国人民银行山西各市中心支行，各政策性银行山西省分行、各大型银行山西省分行、各股份制银行太原分行，山西省联社，晋商银行、山西银行，各外资银行太原分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1" w:fontKey="{2553C0F6-51A5-498A-861B-891A31E51B84}"/>
  </w:font>
  <w:font w:name="MingLiU">
    <w:altName w:val="Microsoft JhengHei UI"/>
    <w:panose1 w:val="02020509000000000000"/>
    <w:charset w:val="88"/>
    <w:family w:val="modern"/>
    <w:pitch w:val="default"/>
    <w:sig w:usb0="00000000" w:usb1="00000000" w:usb2="00000016" w:usb3="00000000" w:csb0="00100001" w:csb1="00000000"/>
  </w:font>
  <w:font w:name="方正小标宋_GBK">
    <w:altName w:val="微软雅黑"/>
    <w:panose1 w:val="02000000000000000000"/>
    <w:charset w:val="86"/>
    <w:family w:val="auto"/>
    <w:pitch w:val="default"/>
    <w:sig w:usb0="00000000" w:usb1="00000000" w:usb2="00000000" w:usb3="00000000" w:csb0="00040000" w:csb1="00000000"/>
    <w:embedRegular r:id="rId2" w:fontKey="{3DC0091B-5638-420B-BC0F-2AD6F34850C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zgwZmI4Nzk1Y2FhYTYwMWI0MDA0MmQ1MzA3OWMifQ=="/>
  </w:docVars>
  <w:rsids>
    <w:rsidRoot w:val="727C0E3D"/>
    <w:rsid w:val="003E25FC"/>
    <w:rsid w:val="00B77A69"/>
    <w:rsid w:val="00E5063F"/>
    <w:rsid w:val="00FF539C"/>
    <w:rsid w:val="0A7113B1"/>
    <w:rsid w:val="0AD76736"/>
    <w:rsid w:val="0E436F89"/>
    <w:rsid w:val="127F1866"/>
    <w:rsid w:val="1EEC12C6"/>
    <w:rsid w:val="255B2F57"/>
    <w:rsid w:val="2B550223"/>
    <w:rsid w:val="343241C2"/>
    <w:rsid w:val="386909D2"/>
    <w:rsid w:val="3CF34727"/>
    <w:rsid w:val="3F242582"/>
    <w:rsid w:val="4F1441E4"/>
    <w:rsid w:val="502142D2"/>
    <w:rsid w:val="545E6D43"/>
    <w:rsid w:val="5EF916E9"/>
    <w:rsid w:val="5F5D4BFA"/>
    <w:rsid w:val="5FFF25D6"/>
    <w:rsid w:val="6BFFB1E1"/>
    <w:rsid w:val="6F1FA988"/>
    <w:rsid w:val="727C0E3D"/>
    <w:rsid w:val="755CA9A1"/>
    <w:rsid w:val="76E416B1"/>
    <w:rsid w:val="76EB6E7B"/>
    <w:rsid w:val="77A9E967"/>
    <w:rsid w:val="7ABB0CFB"/>
    <w:rsid w:val="7B890DF9"/>
    <w:rsid w:val="7F1DFF46"/>
    <w:rsid w:val="B73F8F55"/>
    <w:rsid w:val="BF3F684E"/>
    <w:rsid w:val="E17799E3"/>
    <w:rsid w:val="EFCF495A"/>
    <w:rsid w:val="EFDEBF8E"/>
    <w:rsid w:val="EFEC5E41"/>
    <w:rsid w:val="EFFA7C91"/>
    <w:rsid w:val="FBB112E5"/>
    <w:rsid w:val="FFEFD367"/>
    <w:rsid w:val="FFFAD9A6"/>
    <w:rsid w:val="FFFE9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00" w:after="200" w:line="360" w:lineRule="auto"/>
      <w:ind w:firstLine="640" w:firstLineChars="200"/>
      <w:outlineLvl w:val="1"/>
    </w:pPr>
    <w:rPr>
      <w:rFonts w:ascii="Arial" w:hAnsi="Arial" w:eastAsia="楷体" w:cs="Times New Roman"/>
      <w:sz w:val="32"/>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引文目录1"/>
    <w:basedOn w:val="1"/>
    <w:next w:val="1"/>
    <w:qFormat/>
    <w:uiPriority w:val="0"/>
    <w:pPr>
      <w:ind w:left="420" w:leftChars="200"/>
    </w:pPr>
    <w:rPr>
      <w:sz w:val="32"/>
      <w:szCs w:val="32"/>
    </w:rPr>
  </w:style>
  <w:style w:type="paragraph" w:customStyle="1" w:styleId="11">
    <w:name w:val="正文首行缩进 21"/>
    <w:basedOn w:val="12"/>
    <w:next w:val="7"/>
    <w:qFormat/>
    <w:uiPriority w:val="0"/>
    <w:rPr>
      <w:rFonts w:eastAsia="仿宋_GB2312"/>
      <w:sz w:val="32"/>
      <w:szCs w:val="32"/>
    </w:rPr>
  </w:style>
  <w:style w:type="paragraph" w:customStyle="1" w:styleId="12">
    <w:name w:val="正文文本缩进1"/>
    <w:basedOn w:val="1"/>
    <w:qFormat/>
    <w:uiPriority w:val="0"/>
    <w:pPr>
      <w:ind w:left="200" w:leftChars="200"/>
    </w:pPr>
    <w:rPr>
      <w:rFonts w:ascii="Calibri" w:hAnsi="Calibri" w:eastAsia="宋体" w:cs="Times New Roman"/>
    </w:rPr>
  </w:style>
  <w:style w:type="paragraph" w:customStyle="1" w:styleId="13">
    <w:name w:val="正文文本1"/>
    <w:basedOn w:val="1"/>
    <w:qFormat/>
    <w:uiPriority w:val="0"/>
    <w:pPr>
      <w:shd w:val="clear" w:color="auto" w:fill="FFFFFF"/>
      <w:spacing w:line="360" w:lineRule="auto"/>
      <w:ind w:firstLine="400"/>
    </w:pPr>
    <w:rPr>
      <w:rFonts w:ascii="MingLiU" w:hAnsi="MingLiU" w:eastAsia="MingLiU" w:cs="MingLiU"/>
      <w:sz w:val="28"/>
      <w:szCs w:val="28"/>
      <w:lang w:val="zh-CN" w:bidi="zh-CN"/>
    </w:rPr>
  </w:style>
  <w:style w:type="character" w:customStyle="1" w:styleId="14">
    <w:name w:val="页眉 Char"/>
    <w:basedOn w:val="9"/>
    <w:link w:val="6"/>
    <w:qFormat/>
    <w:uiPriority w:val="0"/>
    <w:rPr>
      <w:kern w:val="2"/>
      <w:sz w:val="18"/>
      <w:szCs w:val="18"/>
    </w:rPr>
  </w:style>
  <w:style w:type="character" w:customStyle="1" w:styleId="15">
    <w:name w:val="页脚 Char"/>
    <w:basedOn w:val="9"/>
    <w:link w:val="5"/>
    <w:qFormat/>
    <w:uiPriority w:val="0"/>
    <w:rPr>
      <w:kern w:val="2"/>
      <w:sz w:val="18"/>
      <w:szCs w:val="18"/>
    </w:r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2972</Words>
  <Characters>3012</Characters>
  <Lines>13</Lines>
  <Paragraphs>3</Paragraphs>
  <TotalTime>3</TotalTime>
  <ScaleCrop>false</ScaleCrop>
  <LinksUpToDate>false</LinksUpToDate>
  <CharactersWithSpaces>3042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2022-11-09T19:23:00Z</dcterms:created>
  <dc:creator>圆媛</dc:creator>
  <cp:lastModifiedBy>（＾Ｏ＾☆♪晶晶 </cp:lastModifiedBy>
  <dcterms:modified xsi:type="dcterms:W3CDTF">2023-08-21T03:57:12Z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B24B8B630EB44D699408BF382562FA87_13</vt:lpwstr>
  </property>
</Properties>
</file>