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rPr>
          <w:rFonts w:hint="eastAsia"/>
        </w:rPr>
      </w:pPr>
      <w:r>
        <w:rPr>
          <w:rFonts w:hint="eastAsia" w:ascii="仿宋" w:hAnsi="仿宋" w:eastAsia="仿宋" w:cs="仿宋"/>
          <w:i w:val="0"/>
          <w:iCs w:val="0"/>
          <w:color w:val="000000"/>
          <w:spacing w:val="0"/>
          <w:sz w:val="32"/>
          <w:szCs w:val="32"/>
          <w:lang w:val="en-US" w:eastAsia="zh-CN"/>
        </w:rPr>
        <w:t>附件1：</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Lines="0" w:beforeAutospacing="0" w:after="0" w:afterLines="0" w:afterAutospacing="0"/>
        <w:ind w:left="0" w:right="0" w:firstLine="0"/>
        <w:jc w:val="center"/>
        <w:outlineLvl w:val="0"/>
        <w:rPr>
          <w:rFonts w:hint="eastAsia" w:ascii="黑体" w:hAnsi="黑体" w:eastAsia="黑体" w:cs="黑体"/>
          <w:b w:val="0"/>
          <w:bCs w:val="0"/>
          <w:kern w:val="2"/>
          <w:sz w:val="40"/>
          <w:szCs w:val="40"/>
          <w:lang w:val="en-US" w:eastAsia="zh-CN" w:bidi="ar-SA"/>
        </w:rPr>
      </w:pPr>
      <w:r>
        <w:rPr>
          <w:rFonts w:hint="eastAsia" w:ascii="黑体" w:hAnsi="黑体" w:eastAsia="黑体" w:cs="黑体"/>
          <w:b w:val="0"/>
          <w:bCs w:val="0"/>
          <w:kern w:val="2"/>
          <w:sz w:val="40"/>
          <w:szCs w:val="40"/>
          <w:lang w:val="en-US" w:eastAsia="zh-CN" w:bidi="ar-SA"/>
        </w:rPr>
        <w:t>2022年阳泉市技术创新中心自评材料参考方案</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一、依托单位基本情况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1.依托单位是在阳泉市内注册设立并独立法人资格，是我市规上企业及规下高新技术企业或科研实力突出的高校院所牵头组建，支持产学研联合共建。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 xml:space="preserve">2.依托单位创建省市各类创新平台情况。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3.近三年承担的国家、省部、市科技计划项目、学术著作、论文、发明专利、制定标准等情况。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4.依托单位的技术创新能力（包括资金筹集、研发条件、生产条件、人才队伍及产学研合作，上年研发投入占销售比例，承担市级以上技术创新项目等）。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5.近三年获得国家、省、市级以上科技奖励、科技成果转化及重点产业领域成就情况。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 xml:space="preserve">6.依托单位有成立技术创新中心文件和专职人才队伍建设。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7.依托单位近三年科研资金投入状况、销售额占比及上一年度财务情况。</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二、技术创新中心基本情况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1.技术创新中心规章管理制度健全、运行机制合理，包括人才激励机制、成果转化机制、资金投入保障机制等。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2.创新中心负责人是否是高级职称、全职工作，科研团队人员是否稳定。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3.技术创新中心近三年资源整合能力和技术转移扩散能力。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4.技术创新中心具备一定规模的技术装备、科技资源、服务场所等基础条件，技术创新中心使用面积不少于500平方米。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5.技术创新中心研发方向是我市4+N产业布局发展领域布局建设（新材料、新一代信息技术、新能源、新型现代服务业等产业</w:t>
      </w:r>
      <w:r>
        <w:rPr>
          <w:rFonts w:hint="default" w:ascii="仿宋" w:hAnsi="仿宋" w:eastAsia="仿宋" w:cs="仿宋"/>
          <w:i w:val="0"/>
          <w:iCs w:val="0"/>
          <w:color w:val="000000"/>
          <w:spacing w:val="0"/>
          <w:sz w:val="32"/>
          <w:szCs w:val="32"/>
          <w:lang w:val="en" w:eastAsia="zh-CN"/>
        </w:rPr>
        <w:t>领域</w:t>
      </w:r>
      <w:r>
        <w:rPr>
          <w:rFonts w:hint="eastAsia" w:ascii="仿宋" w:hAnsi="仿宋" w:eastAsia="仿宋" w:cs="仿宋"/>
          <w:i w:val="0"/>
          <w:iCs w:val="0"/>
          <w:color w:val="000000"/>
          <w:spacing w:val="0"/>
          <w:sz w:val="32"/>
          <w:szCs w:val="32"/>
          <w:lang w:val="en-US" w:eastAsia="zh-CN"/>
        </w:rPr>
        <w:t>，重点围绕碳基新材料、固废综合利用、绿色建材、信创产业、车城网、5G深度应用等我市重点发展领域）。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6.技术创新中心拥有技术含量高、市场前景广、具有自主知识产权和引进科技成果的情况。</w:t>
      </w:r>
    </w:p>
    <w:p>
      <w:pPr>
        <w:pStyle w:val="2"/>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三、中心的未来规划情况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iCs w:val="0"/>
          <w:color w:val="000000"/>
          <w:spacing w:val="0"/>
          <w:sz w:val="32"/>
          <w:szCs w:val="32"/>
          <w:lang w:val="en-US" w:eastAsia="zh-CN"/>
        </w:rPr>
      </w:pPr>
      <w:r>
        <w:rPr>
          <w:rFonts w:hint="eastAsia" w:ascii="仿宋" w:hAnsi="仿宋" w:eastAsia="仿宋" w:cs="仿宋"/>
          <w:i w:val="0"/>
          <w:iCs w:val="0"/>
          <w:color w:val="000000"/>
          <w:spacing w:val="0"/>
          <w:sz w:val="32"/>
          <w:szCs w:val="32"/>
          <w:lang w:val="en-US" w:eastAsia="zh-CN"/>
        </w:rPr>
        <w:t>技术创新中心</w:t>
      </w:r>
      <w:r>
        <w:rPr>
          <w:rFonts w:hint="default" w:ascii="仿宋" w:hAnsi="仿宋" w:eastAsia="仿宋" w:cs="仿宋"/>
          <w:i w:val="0"/>
          <w:iCs w:val="0"/>
          <w:color w:val="000000"/>
          <w:spacing w:val="0"/>
          <w:sz w:val="32"/>
          <w:szCs w:val="32"/>
          <w:lang w:val="en-US" w:eastAsia="zh-CN"/>
        </w:rPr>
        <w:t>未来三年规划的科学性、合理性、可行性</w:t>
      </w:r>
      <w:r>
        <w:rPr>
          <w:rFonts w:hint="eastAsia" w:ascii="仿宋" w:hAnsi="仿宋" w:eastAsia="仿宋" w:cs="仿宋"/>
          <w:i w:val="0"/>
          <w:iCs w:val="0"/>
          <w:color w:val="000000"/>
          <w:spacing w:val="0"/>
          <w:sz w:val="32"/>
          <w:szCs w:val="32"/>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zI4MjU1MGQ1MmJhODllZjE5NDEwOWNlZWQ0MGQifQ=="/>
  </w:docVars>
  <w:rsids>
    <w:rsidRoot w:val="18BA0CA2"/>
    <w:rsid w:val="18BA0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600"/>
    </w:pPr>
    <w:rPr>
      <w:rFonts w:eastAsia="黑体"/>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2023-08-09T09:07:00Z</dcterms:created>
  <dc:creator>XYSKIES</dc:creator>
  <cp:lastModifiedBy>XYSKIES</cp:lastModifiedBy>
  <dcterms:modified xsi:type="dcterms:W3CDTF">2023-08-09T09:08:08Z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D50694FF59C5446788B37EB0DD95CFE6_11</vt:lpwstr>
  </property>
</Properties>
</file>