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方正黑体_GBK" w:hAnsi="方正黑体_GBK" w:eastAsia="方正黑体_GBK" w:cs="方正黑体_GBK"/>
          <w:b w:val="0"/>
          <w:bCs/>
          <w:lang w:val="en-US" w:eastAsia="zh-CN"/>
        </w:rPr>
      </w:pPr>
      <w:bookmarkStart w:id="0" w:name="_GoBack"/>
      <w:bookmarkEnd w:id="0"/>
      <w:r>
        <w:rPr>
          <w:rFonts w:hint="eastAsia" w:ascii="方正黑体_GBK" w:hAnsi="方正黑体_GBK" w:eastAsia="方正黑体_GBK" w:cs="方正黑体_GBK"/>
          <w:b w:val="0"/>
          <w:bCs/>
          <w:color w:val="auto"/>
          <w:lang w:val="en-US" w:eastAsia="zh-CN"/>
        </w:rPr>
        <w:t>附件</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山西省建材工业改造提升2023年行动计划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40"/>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kern w:val="0"/>
          <w:sz w:val="32"/>
          <w:szCs w:val="32"/>
          <w:lang w:val="en-US" w:eastAsia="zh-CN" w:bidi="ar"/>
        </w:rPr>
        <w:t>建材工业是建筑工程和基础设施必不可少的支撑，是国民经济和社会发展的基础性行业，是环境治理和生态文明建设不可缺少的重要一环。为</w:t>
      </w:r>
      <w:r>
        <w:rPr>
          <w:rFonts w:hint="eastAsia" w:ascii="CESI仿宋-GB2312" w:hAnsi="CESI仿宋-GB2312" w:eastAsia="CESI仿宋-GB2312" w:cs="CESI仿宋-GB2312"/>
          <w:color w:val="auto"/>
          <w:sz w:val="32"/>
          <w:szCs w:val="32"/>
          <w:lang w:eastAsia="zh-CN" w:bidi="ar-SA"/>
        </w:rPr>
        <w:t>推进我省建材工业向</w:t>
      </w:r>
      <w:r>
        <w:rPr>
          <w:rFonts w:hint="eastAsia" w:ascii="CESI仿宋-GB2312" w:hAnsi="CESI仿宋-GB2312" w:eastAsia="CESI仿宋-GB2312" w:cs="CESI仿宋-GB2312"/>
          <w:color w:val="auto"/>
          <w:sz w:val="32"/>
          <w:szCs w:val="32"/>
          <w:lang w:val="en-US" w:eastAsia="zh-CN"/>
        </w:rPr>
        <w:t>高端化、智能化、绿色化</w:t>
      </w:r>
      <w:r>
        <w:rPr>
          <w:rFonts w:hint="eastAsia" w:ascii="CESI仿宋-GB2312" w:hAnsi="CESI仿宋-GB2312" w:eastAsia="CESI仿宋-GB2312" w:cs="CESI仿宋-GB2312"/>
          <w:color w:val="auto"/>
          <w:sz w:val="32"/>
          <w:szCs w:val="32"/>
          <w:lang w:eastAsia="zh-CN" w:bidi="ar-SA"/>
        </w:rPr>
        <w:t>方向发展</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bidi="ar-SA"/>
        </w:rPr>
        <w:t>制定本</w:t>
      </w:r>
      <w:r>
        <w:rPr>
          <w:rFonts w:hint="eastAsia" w:ascii="CESI仿宋-GB2312" w:hAnsi="CESI仿宋-GB2312" w:eastAsia="CESI仿宋-GB2312" w:cs="CESI仿宋-GB2312"/>
          <w:color w:val="auto"/>
          <w:sz w:val="32"/>
          <w:szCs w:val="32"/>
          <w:lang w:eastAsia="zh-CN"/>
        </w:rPr>
        <w:t>计划。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黑体_GBK" w:hAnsi="方正黑体_GBK" w:eastAsia="方正黑体_GBK" w:cs="方正黑体_GBK"/>
          <w:color w:val="auto"/>
          <w:sz w:val="32"/>
          <w:szCs w:val="40"/>
          <w:lang w:eastAsia="zh-CN"/>
        </w:rPr>
      </w:pPr>
      <w:r>
        <w:rPr>
          <w:rFonts w:hint="eastAsia" w:ascii="方正黑体_GBK" w:hAnsi="方正黑体_GBK" w:eastAsia="方正黑体_GBK" w:cs="方正黑体_GBK"/>
          <w:color w:val="auto"/>
          <w:sz w:val="32"/>
          <w:szCs w:val="40"/>
          <w:lang w:eastAsia="zh-CN"/>
        </w:rPr>
        <w:t>一、指导思想</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color w:val="auto"/>
          <w:lang w:eastAsia="zh-CN"/>
        </w:rPr>
      </w:pPr>
      <w:r>
        <w:rPr>
          <w:rFonts w:hint="eastAsia" w:ascii="CESI仿宋-GB2312" w:hAnsi="CESI仿宋-GB2312" w:eastAsia="CESI仿宋-GB2312" w:cs="CESI仿宋-GB2312"/>
          <w:color w:val="auto"/>
          <w:sz w:val="32"/>
          <w:szCs w:val="32"/>
          <w:lang w:val="en-US" w:eastAsia="zh-CN"/>
        </w:rPr>
        <w:t>以习近平新时代中国特色社会主义思想为指导，全面贯彻党的二十大精神，立足新发展阶段,完整、准确、全面贯彻新发展理念，构建新发展格局，按照省委经济工作会和省“两会”部署，聚焦我省工业和信息化“229”工程，以高端化、智能化、绿色化发展为方向，引领建材工业迈向高质量发展。</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二、主要目标</w:t>
      </w:r>
    </w:p>
    <w:p>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snapToGrid w:val="0"/>
        <w:spacing w:line="560" w:lineRule="exact"/>
        <w:ind w:right="0" w:rightChars="0" w:firstLine="642" w:firstLineChars="200"/>
        <w:jc w:val="both"/>
        <w:textAlignment w:val="auto"/>
        <w:outlineLvl w:val="9"/>
        <w:rPr>
          <w:rFonts w:hint="eastAsia" w:ascii="仿宋_GB2312" w:hAnsi="仿宋_GB2312" w:cs="仿宋_GB2312"/>
          <w:b w:val="0"/>
          <w:bCs w:val="0"/>
          <w:color w:val="auto"/>
          <w:sz w:val="32"/>
          <w:szCs w:val="40"/>
          <w:lang w:val="en-US" w:eastAsia="zh-CN"/>
        </w:rPr>
      </w:pPr>
      <w:r>
        <w:rPr>
          <w:rFonts w:hint="eastAsia" w:ascii="方正楷体_GBK" w:hAnsi="方正楷体_GBK" w:eastAsia="方正楷体_GBK" w:cs="方正楷体_GBK"/>
          <w:b/>
          <w:bCs/>
          <w:color w:val="auto"/>
          <w:sz w:val="32"/>
          <w:szCs w:val="40"/>
          <w:lang w:val="en-US" w:eastAsia="zh-CN"/>
        </w:rPr>
        <w:t>高端化产品不断丰富。</w:t>
      </w:r>
      <w:r>
        <w:rPr>
          <w:rFonts w:hint="eastAsia" w:ascii="仿宋_GB2312" w:hAnsi="仿宋_GB2312" w:cs="仿宋_GB2312"/>
          <w:b w:val="0"/>
          <w:bCs w:val="0"/>
          <w:color w:val="auto"/>
          <w:sz w:val="32"/>
          <w:szCs w:val="40"/>
          <w:lang w:val="en-US" w:eastAsia="zh-CN"/>
        </w:rPr>
        <w:t>引导企业研发生产特种水泥、特种玻璃、新型耐火材料等产品，产品进入全国中高端供应链。培育一批质量过硬、竞争优势明显的山西品牌，使建材品种更加丰富、品质更加稳定、品牌更具影响力。</w:t>
      </w:r>
    </w:p>
    <w:p>
      <w:pPr>
        <w:keepNext w:val="0"/>
        <w:keepLines w:val="0"/>
        <w:pageBreakBefore w:val="0"/>
        <w:widowControl w:val="0"/>
        <w:kinsoku/>
        <w:wordWrap/>
        <w:overflowPunct/>
        <w:topLinePunct w:val="0"/>
        <w:autoSpaceDE/>
        <w:autoSpaceDN/>
        <w:bidi w:val="0"/>
        <w:adjustRightInd/>
        <w:snapToGrid w:val="0"/>
        <w:spacing w:line="560" w:lineRule="exact"/>
        <w:ind w:left="160" w:leftChars="50" w:right="142" w:firstLine="642" w:firstLineChars="200"/>
        <w:contextualSpacing/>
        <w:textAlignment w:val="auto"/>
        <w:rPr>
          <w:rFonts w:hint="eastAsia" w:hAnsi="仿宋" w:eastAsia="仿宋"/>
          <w:color w:val="auto"/>
          <w:sz w:val="32"/>
          <w:szCs w:val="32"/>
          <w:lang w:val="en-US" w:eastAsia="zh-CN"/>
        </w:rPr>
      </w:pPr>
      <w:r>
        <w:rPr>
          <w:rFonts w:hint="eastAsia" w:ascii="方正楷体_GBK" w:hAnsi="方正楷体_GBK" w:eastAsia="方正楷体_GBK" w:cs="方正楷体_GBK"/>
          <w:b/>
          <w:bCs/>
          <w:color w:val="auto"/>
          <w:sz w:val="32"/>
          <w:szCs w:val="40"/>
          <w:lang w:eastAsia="zh-CN"/>
        </w:rPr>
        <w:t>智能化水平稳步提升。</w:t>
      </w:r>
      <w:r>
        <w:rPr>
          <w:rFonts w:hint="eastAsia" w:ascii="仿宋_GB2312" w:hAnsi="仿宋_GB2312" w:cs="仿宋_GB2312"/>
          <w:b w:val="0"/>
          <w:bCs w:val="0"/>
          <w:color w:val="auto"/>
          <w:sz w:val="32"/>
          <w:szCs w:val="40"/>
          <w:lang w:val="en-US" w:eastAsia="zh-CN"/>
        </w:rPr>
        <w:t>建材工业智能制造重点领域示范引领和推广应用取得较好成效，全行业智能化水平稳步提升。推动水泥熟料企业进行自动采选配矿、智能仓储物流、设备诊断运维、生产远程监控、智能质量控制等智能化系统建设。</w:t>
      </w:r>
    </w:p>
    <w:p>
      <w:pPr>
        <w:keepNext w:val="0"/>
        <w:keepLines w:val="0"/>
        <w:pageBreakBefore w:val="0"/>
        <w:widowControl w:val="0"/>
        <w:kinsoku/>
        <w:wordWrap/>
        <w:overflowPunct/>
        <w:topLinePunct w:val="0"/>
        <w:autoSpaceDE/>
        <w:autoSpaceDN/>
        <w:bidi w:val="0"/>
        <w:adjustRightInd/>
        <w:snapToGrid w:val="0"/>
        <w:spacing w:line="560" w:lineRule="exact"/>
        <w:ind w:left="160" w:leftChars="50" w:right="142" w:firstLine="642" w:firstLineChars="200"/>
        <w:contextualSpacing/>
        <w:textAlignment w:val="auto"/>
        <w:rPr>
          <w:rFonts w:hint="eastAsia"/>
          <w:color w:val="auto"/>
          <w:lang w:val="en-US" w:eastAsia="zh-CN"/>
        </w:rPr>
      </w:pPr>
      <w:r>
        <w:rPr>
          <w:rFonts w:hint="eastAsia" w:ascii="方正楷体_GBK" w:hAnsi="方正楷体_GBK" w:eastAsia="方正楷体_GBK" w:cs="方正楷体_GBK"/>
          <w:b/>
          <w:bCs/>
          <w:color w:val="auto"/>
          <w:sz w:val="32"/>
          <w:szCs w:val="40"/>
          <w:lang w:val="en-US" w:eastAsia="zh-CN"/>
        </w:rPr>
        <w:t>绿色化改造全面开展。</w:t>
      </w:r>
      <w:r>
        <w:rPr>
          <w:rFonts w:hint="eastAsia" w:ascii="仿宋_GB2312" w:hAnsi="仿宋_GB2312" w:cs="仿宋_GB2312"/>
          <w:b w:val="0"/>
          <w:bCs w:val="0"/>
          <w:color w:val="auto"/>
          <w:sz w:val="32"/>
          <w:szCs w:val="40"/>
          <w:lang w:val="en-US" w:eastAsia="zh-CN"/>
        </w:rPr>
        <w:t>配合省生态环境厅</w:t>
      </w:r>
      <w:r>
        <w:rPr>
          <w:rFonts w:hint="eastAsia" w:ascii="仿宋_GB2312" w:hAnsi="仿宋_GB2312" w:cs="仿宋_GB2312"/>
          <w:color w:val="auto"/>
          <w:sz w:val="32"/>
          <w:szCs w:val="40"/>
          <w:lang w:val="en-US" w:eastAsia="zh-CN"/>
        </w:rPr>
        <w:t>协调推动水泥熟料企业全面完成超低排放改造，改造完成后颗粒物、二氧化硫、氮氧化物排放浓度分别不高于10、35、50毫克/立方米，氨逃逸浓度不高于5毫克/立方米。引导水泥熟料企业开展节能技术改造，改造完成后水泥熟料综合能耗≤117千克标准煤/吨</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三、重点任务</w:t>
      </w:r>
    </w:p>
    <w:p>
      <w:pPr>
        <w:pStyle w:val="6"/>
        <w:keepNext w:val="0"/>
        <w:keepLines w:val="0"/>
        <w:pageBreakBefore w:val="0"/>
        <w:widowControl w:val="0"/>
        <w:kinsoku/>
        <w:wordWrap/>
        <w:overflowPunct/>
        <w:topLinePunct w:val="0"/>
        <w:autoSpaceDE/>
        <w:autoSpaceDN/>
        <w:bidi w:val="0"/>
        <w:adjustRightInd/>
        <w:snapToGrid w:val="0"/>
        <w:spacing w:line="560" w:lineRule="exact"/>
        <w:ind w:left="0" w:right="0" w:firstLine="642" w:firstLineChars="200"/>
        <w:jc w:val="both"/>
        <w:textAlignment w:val="auto"/>
        <w:rPr>
          <w:rFonts w:hint="eastAsia" w:eastAsia="仿宋_GB2312"/>
          <w:color w:val="auto"/>
          <w:sz w:val="32"/>
          <w:szCs w:val="32"/>
          <w:lang w:val="en-US" w:eastAsia="zh-CN"/>
        </w:rPr>
      </w:pPr>
      <w:r>
        <w:rPr>
          <w:rFonts w:hint="eastAsia" w:ascii="楷体_GB2312" w:eastAsia="楷体_GB2312" w:cs="楷体_GB2312"/>
          <w:b/>
          <w:bCs/>
          <w:color w:val="auto"/>
          <w:sz w:val="32"/>
          <w:szCs w:val="32"/>
          <w:lang w:val="en-US" w:eastAsia="zh-CN" w:bidi="ar-SA"/>
        </w:rPr>
        <w:t>（一）推动产能置换项目建设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Times New Roman" w:hAnsi="Times New Roman" w:cs="Times New Roman"/>
          <w:color w:val="auto"/>
          <w:sz w:val="32"/>
          <w:szCs w:val="32"/>
          <w:highlight w:val="none"/>
          <w:lang w:val="en-US" w:eastAsia="zh-CN"/>
        </w:rPr>
      </w:pPr>
      <w:r>
        <w:rPr>
          <w:rFonts w:hint="eastAsia" w:eastAsia="仿宋_GB2312"/>
          <w:color w:val="auto"/>
          <w:sz w:val="32"/>
          <w:szCs w:val="32"/>
          <w:lang w:val="en-US" w:eastAsia="zh-CN"/>
        </w:rPr>
        <w:t>严格执行国家水泥产能置换政策，严禁新增产能。</w:t>
      </w:r>
      <w:r>
        <w:rPr>
          <w:rFonts w:hint="eastAsia" w:ascii="Times New Roman" w:hAnsi="Times New Roman" w:eastAsia="仿宋_GB2312" w:cs="Times New Roman"/>
          <w:color w:val="auto"/>
          <w:sz w:val="32"/>
          <w:szCs w:val="32"/>
          <w:highlight w:val="none"/>
          <w:lang w:val="en-US" w:eastAsia="zh-CN"/>
        </w:rPr>
        <w:t>推进</w:t>
      </w:r>
      <w:r>
        <w:rPr>
          <w:rFonts w:hint="eastAsia" w:ascii="Times New Roman" w:hAnsi="Times New Roman" w:eastAsia="仿宋_GB2312" w:cs="Times New Roman"/>
          <w:color w:val="auto"/>
          <w:kern w:val="2"/>
          <w:sz w:val="32"/>
          <w:szCs w:val="32"/>
          <w:highlight w:val="none"/>
          <w:lang w:val="en-US" w:eastAsia="zh-CN" w:bidi="ar-SA"/>
        </w:rPr>
        <w:t>产业结构调整指导目录</w:t>
      </w:r>
      <w:r>
        <w:rPr>
          <w:rFonts w:hint="eastAsia" w:ascii="Times New Roman" w:hAnsi="Times New Roman" w:eastAsia="仿宋_GB2312" w:cs="Times New Roman"/>
          <w:color w:val="auto"/>
          <w:sz w:val="32"/>
          <w:szCs w:val="32"/>
          <w:highlight w:val="none"/>
          <w:lang w:val="en-US" w:eastAsia="zh-CN"/>
        </w:rPr>
        <w:t>限制类工艺装备水泥熟料企业进行兼并重组和产能置换</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实施产业基础再造工程</w:t>
      </w:r>
      <w:r>
        <w:rPr>
          <w:rFonts w:hint="eastAsia" w:ascii="Times New Roman" w:hAnsi="Times New Roman" w:cs="Times New Roman"/>
          <w:color w:val="auto"/>
          <w:sz w:val="32"/>
          <w:szCs w:val="32"/>
          <w:highlight w:val="none"/>
          <w:lang w:val="en-US" w:eastAsia="zh-CN"/>
        </w:rPr>
        <w:t>，推动我省</w:t>
      </w:r>
      <w:r>
        <w:rPr>
          <w:rFonts w:hint="eastAsia" w:ascii="仿宋_GB2312" w:hAnsi="仿宋_GB2312" w:cs="仿宋_GB2312"/>
          <w:color w:val="auto"/>
          <w:sz w:val="32"/>
          <w:szCs w:val="40"/>
          <w:lang w:val="en-US" w:eastAsia="zh-CN"/>
        </w:rPr>
        <w:t>产能置换</w:t>
      </w:r>
      <w:r>
        <w:rPr>
          <w:rFonts w:hint="eastAsia" w:ascii="仿宋_GB2312" w:hAnsi="仿宋_GB2312" w:eastAsia="仿宋_GB2312" w:cs="仿宋_GB2312"/>
          <w:color w:val="auto"/>
          <w:sz w:val="32"/>
          <w:szCs w:val="40"/>
          <w:lang w:val="en-US" w:eastAsia="zh-CN"/>
        </w:rPr>
        <w:t>项目</w:t>
      </w:r>
      <w:r>
        <w:rPr>
          <w:rFonts w:hint="eastAsia" w:ascii="仿宋_GB2312" w:hAnsi="仿宋_GB2312" w:cs="仿宋_GB2312"/>
          <w:color w:val="auto"/>
          <w:sz w:val="32"/>
          <w:szCs w:val="40"/>
          <w:lang w:val="en-US" w:eastAsia="zh-CN"/>
        </w:rPr>
        <w:t>建成投产</w:t>
      </w:r>
      <w:r>
        <w:rPr>
          <w:rFonts w:hint="eastAsia" w:ascii="Times New Roman" w:hAnsi="Times New Roman"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4"/>
        <w:textAlignment w:val="auto"/>
        <w:rPr>
          <w:rFonts w:hint="eastAsia" w:ascii="方正楷体_GBK" w:hAnsi="方正楷体_GBK" w:eastAsia="方正楷体_GBK" w:cs="方正楷体_GBK"/>
          <w:b/>
          <w:bCs w:val="0"/>
          <w:color w:val="auto"/>
          <w:sz w:val="32"/>
          <w:szCs w:val="32"/>
          <w:lang w:val="en-US" w:eastAsia="zh-CN"/>
        </w:rPr>
      </w:pPr>
      <w:r>
        <w:rPr>
          <w:rFonts w:hint="eastAsia" w:ascii="方正楷体_GBK" w:hAnsi="方正楷体_GBK" w:eastAsia="方正楷体_GBK" w:cs="方正楷体_GBK"/>
          <w:b/>
          <w:bCs w:val="0"/>
          <w:color w:val="auto"/>
          <w:sz w:val="32"/>
          <w:szCs w:val="32"/>
          <w:lang w:val="en-US" w:eastAsia="zh-CN"/>
        </w:rPr>
        <w:t>（二）推动行业高端化转型发展</w:t>
      </w:r>
    </w:p>
    <w:p>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cs="仿宋_GB2312"/>
          <w:b w:val="0"/>
          <w:bCs w:val="0"/>
          <w:color w:val="auto"/>
          <w:sz w:val="32"/>
          <w:szCs w:val="40"/>
          <w:lang w:val="en-US" w:eastAsia="zh-CN"/>
        </w:rPr>
      </w:pPr>
      <w:r>
        <w:rPr>
          <w:rFonts w:hint="eastAsia" w:ascii="仿宋_GB2312" w:hAnsi="仿宋_GB2312" w:cs="仿宋_GB2312"/>
          <w:b w:val="0"/>
          <w:bCs w:val="0"/>
          <w:color w:val="auto"/>
          <w:sz w:val="32"/>
          <w:szCs w:val="40"/>
          <w:lang w:val="en-US" w:eastAsia="zh-CN"/>
        </w:rPr>
        <w:t>按照《原材料工业“三品”实施方案》要求，</w:t>
      </w:r>
      <w:r>
        <w:rPr>
          <w:rFonts w:hint="default" w:ascii="仿宋_GB2312" w:hAnsi="仿宋_GB2312" w:cs="仿宋_GB2312"/>
          <w:b w:val="0"/>
          <w:bCs w:val="0"/>
          <w:color w:val="auto"/>
          <w:sz w:val="32"/>
          <w:szCs w:val="40"/>
          <w:lang w:val="en-US" w:eastAsia="zh-CN"/>
        </w:rPr>
        <w:t>加快</w:t>
      </w:r>
      <w:r>
        <w:rPr>
          <w:rFonts w:hint="eastAsia" w:ascii="仿宋_GB2312" w:hAnsi="仿宋_GB2312" w:cs="仿宋_GB2312"/>
          <w:b w:val="0"/>
          <w:bCs w:val="0"/>
          <w:color w:val="auto"/>
          <w:sz w:val="32"/>
          <w:szCs w:val="40"/>
          <w:lang w:val="en-US" w:eastAsia="zh-CN"/>
        </w:rPr>
        <w:t>建材</w:t>
      </w:r>
      <w:r>
        <w:rPr>
          <w:rFonts w:hint="default" w:ascii="仿宋_GB2312" w:hAnsi="仿宋_GB2312" w:cs="仿宋_GB2312"/>
          <w:b w:val="0"/>
          <w:bCs w:val="0"/>
          <w:color w:val="auto"/>
          <w:sz w:val="32"/>
          <w:szCs w:val="40"/>
          <w:lang w:val="en-US" w:eastAsia="zh-CN"/>
        </w:rPr>
        <w:t>传统产品二次创新，</w:t>
      </w:r>
      <w:r>
        <w:rPr>
          <w:rFonts w:hint="eastAsia" w:ascii="仿宋_GB2312" w:hAnsi="仿宋_GB2312" w:cs="仿宋_GB2312"/>
          <w:b w:val="0"/>
          <w:bCs w:val="0"/>
          <w:color w:val="auto"/>
          <w:sz w:val="32"/>
          <w:szCs w:val="40"/>
          <w:lang w:val="en-US" w:eastAsia="zh-CN"/>
        </w:rPr>
        <w:t>鼓励企业</w:t>
      </w:r>
      <w:r>
        <w:rPr>
          <w:rFonts w:hint="default" w:ascii="仿宋_GB2312" w:hAnsi="仿宋_GB2312" w:cs="仿宋_GB2312"/>
          <w:b w:val="0"/>
          <w:bCs w:val="0"/>
          <w:color w:val="auto"/>
          <w:sz w:val="32"/>
          <w:szCs w:val="40"/>
          <w:lang w:val="en-US" w:eastAsia="zh-CN"/>
        </w:rPr>
        <w:t>开发生产拥有自主知识产权、较高附加值和市场竞争力的新产品，促进产品升级换代</w:t>
      </w:r>
      <w:r>
        <w:rPr>
          <w:rFonts w:hint="eastAsia" w:ascii="仿宋_GB2312" w:hAnsi="仿宋_GB2312" w:cs="仿宋_GB2312"/>
          <w:b w:val="0"/>
          <w:bCs w:val="0"/>
          <w:color w:val="auto"/>
          <w:sz w:val="32"/>
          <w:szCs w:val="40"/>
          <w:lang w:val="en-US" w:eastAsia="zh-CN"/>
        </w:rPr>
        <w:t>，提升传统产品供给档次和水平。</w:t>
      </w:r>
      <w:r>
        <w:rPr>
          <w:rFonts w:hint="default" w:ascii="仿宋_GB2312" w:hAnsi="仿宋_GB2312" w:cs="仿宋_GB2312"/>
          <w:b w:val="0"/>
          <w:bCs w:val="0"/>
          <w:color w:val="auto"/>
          <w:sz w:val="32"/>
          <w:szCs w:val="40"/>
          <w:lang w:val="en-US" w:eastAsia="zh-CN"/>
        </w:rPr>
        <w:t>引导企业</w:t>
      </w:r>
      <w:r>
        <w:rPr>
          <w:rFonts w:hint="eastAsia" w:ascii="仿宋_GB2312" w:hAnsi="仿宋_GB2312" w:cs="仿宋_GB2312"/>
          <w:b w:val="0"/>
          <w:bCs w:val="0"/>
          <w:color w:val="auto"/>
          <w:sz w:val="32"/>
          <w:szCs w:val="40"/>
          <w:lang w:val="en-US" w:eastAsia="zh-CN"/>
        </w:rPr>
        <w:t>大力开拓传统产品新市场、新用途，支持发展防火玻璃、汽车和高铁等用风挡玻璃、钙镁质耐火材料等新产品，提高深加工水平和产品附加值，不断提升传统产品竞争优势和竞争效率。</w:t>
      </w:r>
    </w:p>
    <w:p>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snapToGrid w:val="0"/>
        <w:spacing w:line="560" w:lineRule="exact"/>
        <w:ind w:right="0" w:rightChars="0" w:firstLine="642" w:firstLineChars="200"/>
        <w:jc w:val="both"/>
        <w:textAlignment w:val="auto"/>
        <w:outlineLvl w:val="9"/>
        <w:rPr>
          <w:rFonts w:hint="eastAsia" w:ascii="楷体_GB2312" w:eastAsia="楷体_GB2312" w:cs="楷体_GB2312"/>
          <w:b/>
          <w:bCs/>
          <w:color w:val="auto"/>
          <w:sz w:val="32"/>
          <w:szCs w:val="32"/>
          <w:lang w:val="en-US" w:eastAsia="zh-CN" w:bidi="ar-SA"/>
        </w:rPr>
      </w:pPr>
      <w:r>
        <w:rPr>
          <w:rFonts w:hint="eastAsia" w:ascii="楷体_GB2312" w:eastAsia="楷体_GB2312" w:cs="楷体_GB2312"/>
          <w:b/>
          <w:bCs/>
          <w:color w:val="auto"/>
          <w:sz w:val="32"/>
          <w:szCs w:val="32"/>
          <w:lang w:val="en-US" w:eastAsia="zh-CN" w:bidi="ar-SA"/>
        </w:rPr>
        <w:t>（三）推动行业智能化转型发展</w:t>
      </w:r>
    </w:p>
    <w:p>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40"/>
          <w:lang w:eastAsia="zh-CN"/>
        </w:rPr>
      </w:pPr>
      <w:r>
        <w:rPr>
          <w:rFonts w:hint="eastAsia" w:ascii="仿宋_GB2312" w:hAnsi="仿宋_GB2312" w:cs="仿宋_GB2312"/>
          <w:b w:val="0"/>
          <w:bCs w:val="0"/>
          <w:color w:val="auto"/>
          <w:sz w:val="32"/>
          <w:szCs w:val="40"/>
          <w:lang w:val="en-US" w:eastAsia="zh-CN"/>
        </w:rPr>
        <w:t>按照</w:t>
      </w:r>
      <w:r>
        <w:rPr>
          <w:rFonts w:hint="eastAsia" w:ascii="仿宋_GB2312" w:hAnsi="仿宋_GB2312" w:eastAsia="仿宋_GB2312" w:cs="仿宋_GB2312"/>
          <w:color w:val="auto"/>
          <w:sz w:val="32"/>
          <w:szCs w:val="40"/>
          <w:lang w:val="en-US" w:eastAsia="zh-CN"/>
        </w:rPr>
        <w:t>《建材工业智能制造数字转型行动计划</w:t>
      </w:r>
      <w:r>
        <w:rPr>
          <w:rFonts w:hint="eastAsia" w:ascii="仿宋_GB2312" w:hAnsi="仿宋_GB2312" w:cs="仿宋_GB2312"/>
          <w:color w:val="auto"/>
          <w:sz w:val="32"/>
          <w:szCs w:val="40"/>
          <w:lang w:val="en-US" w:eastAsia="zh-CN"/>
        </w:rPr>
        <w:t>（2021-2023年）》要求，充分</w:t>
      </w:r>
      <w:r>
        <w:rPr>
          <w:rFonts w:hint="eastAsia" w:eastAsia="仿宋_GB2312" w:cs="Times New Roman"/>
          <w:color w:val="auto"/>
          <w:sz w:val="32"/>
          <w:szCs w:val="32"/>
          <w:lang w:val="en-US" w:eastAsia="zh-CN" w:bidi="ar-SA"/>
        </w:rPr>
        <w:t>发挥</w:t>
      </w:r>
      <w:r>
        <w:rPr>
          <w:rFonts w:hint="eastAsia" w:ascii="Times New Roman" w:hAnsi="Times New Roman" w:cs="Times New Roman"/>
          <w:color w:val="auto"/>
          <w:kern w:val="2"/>
          <w:sz w:val="32"/>
          <w:szCs w:val="32"/>
          <w:highlight w:val="none"/>
          <w:lang w:val="en-US" w:eastAsia="zh-CN" w:bidi="ar-SA"/>
        </w:rPr>
        <w:t>我省</w:t>
      </w:r>
      <w:r>
        <w:rPr>
          <w:rFonts w:hint="eastAsia" w:eastAsia="仿宋_GB2312" w:cs="Times New Roman"/>
          <w:color w:val="auto"/>
          <w:sz w:val="32"/>
          <w:szCs w:val="32"/>
          <w:lang w:val="en-US" w:eastAsia="zh-CN" w:bidi="ar-SA"/>
        </w:rPr>
        <w:t>智能制造标杆企业的示范引领作用，通过持续完善、迭代和提升，在行业内</w:t>
      </w:r>
      <w:r>
        <w:rPr>
          <w:rFonts w:hint="eastAsia" w:cs="Times New Roman"/>
          <w:color w:val="auto"/>
          <w:sz w:val="32"/>
          <w:szCs w:val="32"/>
          <w:lang w:val="en-US" w:eastAsia="zh-CN" w:bidi="ar-SA"/>
        </w:rPr>
        <w:t>进行</w:t>
      </w:r>
      <w:r>
        <w:rPr>
          <w:rFonts w:hint="eastAsia" w:eastAsia="仿宋_GB2312" w:cs="Times New Roman"/>
          <w:color w:val="auto"/>
          <w:sz w:val="32"/>
          <w:szCs w:val="32"/>
          <w:lang w:val="en-US" w:eastAsia="zh-CN" w:bidi="ar-SA"/>
        </w:rPr>
        <w:t>复</w:t>
      </w:r>
      <w:r>
        <w:rPr>
          <w:rFonts w:hint="eastAsia" w:ascii="Times New Roman" w:hAnsi="Times New Roman" w:eastAsia="仿宋_GB2312" w:cs="Times New Roman"/>
          <w:color w:val="auto"/>
          <w:kern w:val="2"/>
          <w:sz w:val="32"/>
          <w:szCs w:val="32"/>
          <w:highlight w:val="none"/>
          <w:lang w:val="en-US" w:eastAsia="zh-CN" w:bidi="ar-SA"/>
        </w:rPr>
        <w:t>制推广。</w:t>
      </w:r>
      <w:r>
        <w:rPr>
          <w:rFonts w:hint="eastAsia" w:ascii="Times New Roman" w:hAnsi="Times New Roman" w:cs="Times New Roman"/>
          <w:color w:val="auto"/>
          <w:kern w:val="2"/>
          <w:sz w:val="32"/>
          <w:szCs w:val="32"/>
          <w:highlight w:val="none"/>
          <w:lang w:val="en-US" w:eastAsia="zh-CN" w:bidi="ar-SA"/>
        </w:rPr>
        <w:t>鼓励企业</w:t>
      </w:r>
      <w:r>
        <w:rPr>
          <w:rFonts w:hint="eastAsia" w:ascii="Times New Roman" w:hAnsi="Times New Roman" w:eastAsia="仿宋_GB2312" w:cs="Times New Roman"/>
          <w:color w:val="auto"/>
          <w:kern w:val="2"/>
          <w:sz w:val="32"/>
          <w:szCs w:val="32"/>
          <w:highlight w:val="none"/>
          <w:lang w:val="en-US" w:eastAsia="zh-CN" w:bidi="ar-SA"/>
        </w:rPr>
        <w:t>按照智能工厂建设规程和标准，</w:t>
      </w:r>
      <w:r>
        <w:rPr>
          <w:rFonts w:hint="eastAsia" w:ascii="Times New Roman" w:hAnsi="Times New Roman" w:cs="Times New Roman"/>
          <w:color w:val="auto"/>
          <w:kern w:val="2"/>
          <w:sz w:val="32"/>
          <w:szCs w:val="32"/>
          <w:highlight w:val="none"/>
          <w:lang w:val="en-US" w:eastAsia="zh-CN" w:bidi="ar-SA"/>
        </w:rPr>
        <w:t>建设</w:t>
      </w:r>
      <w:r>
        <w:rPr>
          <w:rFonts w:hint="eastAsia" w:ascii="Times New Roman" w:hAnsi="Times New Roman" w:eastAsia="仿宋_GB2312" w:cs="Times New Roman"/>
          <w:color w:val="auto"/>
          <w:kern w:val="2"/>
          <w:sz w:val="32"/>
          <w:szCs w:val="32"/>
          <w:highlight w:val="none"/>
          <w:lang w:val="en-US" w:eastAsia="zh-CN" w:bidi="ar-SA"/>
        </w:rPr>
        <w:t>集智能生产、智能运维和智能管理为一体的智能工厂，切</w:t>
      </w:r>
      <w:r>
        <w:rPr>
          <w:rFonts w:hint="eastAsia" w:eastAsia="仿宋_GB2312" w:cs="Times New Roman"/>
          <w:color w:val="auto"/>
          <w:sz w:val="32"/>
          <w:szCs w:val="32"/>
          <w:lang w:val="en-US" w:eastAsia="zh-CN" w:bidi="ar-SA"/>
        </w:rPr>
        <w:t>实提高产品质量、运营效率、设备管理和安全环保水平</w:t>
      </w:r>
      <w:r>
        <w:rPr>
          <w:rFonts w:hint="eastAsia" w:cs="Times New Roman"/>
          <w:color w:val="auto"/>
          <w:sz w:val="32"/>
          <w:szCs w:val="32"/>
          <w:lang w:val="en-US" w:eastAsia="zh-CN" w:bidi="ar-SA"/>
        </w:rPr>
        <w:t>，</w:t>
      </w:r>
      <w:r>
        <w:rPr>
          <w:rFonts w:hint="eastAsia" w:eastAsia="仿宋_GB2312" w:cs="Times New Roman"/>
          <w:color w:val="auto"/>
          <w:sz w:val="32"/>
          <w:szCs w:val="32"/>
          <w:lang w:val="en-US" w:eastAsia="zh-CN" w:bidi="ar-SA"/>
        </w:rPr>
        <w:t>运用三维仿真、智能采选、自动配矿、无人驾驶、灾害监控等手</w:t>
      </w:r>
      <w:r>
        <w:rPr>
          <w:rFonts w:hint="eastAsia" w:ascii="仿宋_GB2312" w:hAnsi="仿宋_GB2312" w:eastAsia="仿宋_GB2312" w:cs="仿宋_GB2312"/>
          <w:color w:val="auto"/>
          <w:sz w:val="32"/>
          <w:szCs w:val="40"/>
          <w:lang w:val="en-US" w:eastAsia="zh-CN"/>
        </w:rPr>
        <w:t>段，</w:t>
      </w:r>
      <w:r>
        <w:rPr>
          <w:rFonts w:hint="eastAsia" w:ascii="仿宋_GB2312" w:hAnsi="仿宋_GB2312" w:eastAsia="仿宋_GB2312" w:cs="仿宋_GB2312"/>
          <w:color w:val="auto"/>
          <w:sz w:val="32"/>
          <w:szCs w:val="40"/>
        </w:rPr>
        <w:t>加快推广</w:t>
      </w:r>
      <w:r>
        <w:rPr>
          <w:rFonts w:hint="eastAsia" w:ascii="仿宋_GB2312" w:hAnsi="仿宋_GB2312" w:eastAsia="仿宋_GB2312" w:cs="仿宋_GB2312"/>
          <w:color w:val="auto"/>
          <w:sz w:val="32"/>
          <w:szCs w:val="40"/>
          <w:lang w:val="en-US" w:eastAsia="zh-CN"/>
        </w:rPr>
        <w:t>机械化换人和自动化减人</w:t>
      </w:r>
      <w:r>
        <w:rPr>
          <w:rFonts w:hint="eastAsia" w:ascii="仿宋_GB2312" w:hAnsi="仿宋_GB2312" w:eastAsia="仿宋_GB2312" w:cs="仿宋_GB2312"/>
          <w:color w:val="auto"/>
          <w:sz w:val="32"/>
          <w:szCs w:val="40"/>
        </w:rPr>
        <w:t>、设备巡检维护、在线监测检测营等先进技术方案</w:t>
      </w:r>
      <w:r>
        <w:rPr>
          <w:rFonts w:hint="eastAsia" w:ascii="仿宋_GB2312" w:hAnsi="仿宋_GB2312" w:eastAsia="仿宋_GB2312" w:cs="仿宋_GB2312"/>
          <w:color w:val="auto"/>
          <w:sz w:val="32"/>
          <w:szCs w:val="40"/>
          <w:lang w:eastAsia="zh-CN"/>
        </w:rPr>
        <w:t>。</w:t>
      </w:r>
    </w:p>
    <w:p>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snapToGrid w:val="0"/>
        <w:spacing w:line="560" w:lineRule="exact"/>
        <w:ind w:right="0" w:rightChars="0" w:firstLine="642" w:firstLineChars="200"/>
        <w:jc w:val="both"/>
        <w:textAlignment w:val="auto"/>
        <w:outlineLvl w:val="9"/>
        <w:rPr>
          <w:rFonts w:hint="eastAsia" w:ascii="方正楷体_GBK" w:hAnsi="方正楷体_GBK" w:eastAsia="方正楷体_GBK" w:cs="方正楷体_GBK"/>
          <w:b/>
          <w:bCs/>
          <w:color w:val="auto"/>
          <w:sz w:val="32"/>
          <w:szCs w:val="40"/>
          <w:lang w:val="en-US" w:eastAsia="zh-CN"/>
        </w:rPr>
      </w:pPr>
      <w:r>
        <w:rPr>
          <w:rFonts w:hint="eastAsia" w:ascii="方正楷体_GBK" w:hAnsi="方正楷体_GBK" w:eastAsia="方正楷体_GBK" w:cs="方正楷体_GBK"/>
          <w:b/>
          <w:bCs/>
          <w:color w:val="auto"/>
          <w:sz w:val="32"/>
          <w:szCs w:val="40"/>
          <w:lang w:val="en-US" w:eastAsia="zh-CN"/>
        </w:rPr>
        <w:t>（四）推动行业绿色化转型发展</w:t>
      </w:r>
    </w:p>
    <w:p>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0"/>
        </w:pBdr>
        <w:shd w:val="clear" w:color="auto" w:fill="auto"/>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color w:val="auto"/>
          <w:lang w:val="en-US" w:eastAsia="zh-CN"/>
        </w:rPr>
      </w:pPr>
      <w:r>
        <w:rPr>
          <w:rFonts w:hint="eastAsia" w:ascii="仿宋_GB2312" w:hAnsi="仿宋_GB2312" w:eastAsia="仿宋_GB2312" w:cs="仿宋_GB2312"/>
          <w:color w:val="auto"/>
          <w:sz w:val="32"/>
          <w:szCs w:val="40"/>
          <w:lang w:val="en-US" w:eastAsia="zh-CN"/>
        </w:rPr>
        <w:t>贯彻落实国家碳达峰碳中和安排部署，按照四部门印发的</w:t>
      </w:r>
      <w:r>
        <w:rPr>
          <w:rFonts w:hint="eastAsia" w:ascii="仿宋_GB2312" w:hAnsi="仿宋_GB2312" w:eastAsia="仿宋_GB2312" w:cs="仿宋_GB2312"/>
          <w:color w:val="auto"/>
          <w:sz w:val="32"/>
          <w:szCs w:val="40"/>
          <w:lang w:val="en-US" w:eastAsia="zh-CN"/>
        </w:rPr>
        <w:fldChar w:fldCharType="begin"/>
      </w:r>
      <w:r>
        <w:rPr>
          <w:rFonts w:hint="eastAsia" w:ascii="仿宋_GB2312" w:hAnsi="仿宋_GB2312" w:eastAsia="仿宋_GB2312" w:cs="仿宋_GB2312"/>
          <w:color w:val="auto"/>
          <w:sz w:val="32"/>
          <w:szCs w:val="40"/>
          <w:lang w:val="en-US" w:eastAsia="zh-CN"/>
        </w:rPr>
        <w:instrText xml:space="preserve"> HYPERLINK "http://www.gov.cn/zhengce/zhengceku/2022-11/08/5725353/files/7277f2cc48d14d6696a240fb748eb49c.pdf" \t "/home/greatwall/文档\\x/_blank" </w:instrText>
      </w:r>
      <w:r>
        <w:rPr>
          <w:rFonts w:hint="eastAsia" w:ascii="仿宋_GB2312" w:hAnsi="仿宋_GB2312" w:eastAsia="仿宋_GB2312" w:cs="仿宋_GB2312"/>
          <w:color w:val="auto"/>
          <w:sz w:val="32"/>
          <w:szCs w:val="40"/>
          <w:lang w:val="en-US" w:eastAsia="zh-CN"/>
        </w:rPr>
        <w:fldChar w:fldCharType="separate"/>
      </w:r>
      <w:r>
        <w:rPr>
          <w:rFonts w:hint="eastAsia" w:ascii="仿宋_GB2312" w:hAnsi="仿宋_GB2312" w:eastAsia="仿宋_GB2312" w:cs="仿宋_GB2312"/>
          <w:color w:val="auto"/>
          <w:sz w:val="32"/>
          <w:szCs w:val="40"/>
          <w:lang w:val="en-US" w:eastAsia="zh-CN"/>
        </w:rPr>
        <w:t>《建材行业碳达峰实施方案》</w:t>
      </w:r>
      <w:r>
        <w:rPr>
          <w:rFonts w:hint="eastAsia" w:ascii="仿宋_GB2312" w:hAnsi="仿宋_GB2312" w:eastAsia="仿宋_GB2312" w:cs="仿宋_GB2312"/>
          <w:color w:val="auto"/>
          <w:sz w:val="32"/>
          <w:szCs w:val="40"/>
          <w:lang w:val="en-US" w:eastAsia="zh-CN"/>
        </w:rPr>
        <w:fldChar w:fldCharType="end"/>
      </w:r>
      <w:r>
        <w:rPr>
          <w:rFonts w:hint="eastAsia" w:ascii="仿宋_GB2312" w:hAnsi="仿宋_GB2312" w:eastAsia="仿宋_GB2312" w:cs="仿宋_GB2312"/>
          <w:color w:val="auto"/>
          <w:sz w:val="32"/>
          <w:szCs w:val="40"/>
          <w:lang w:val="en-US" w:eastAsia="zh-CN"/>
        </w:rPr>
        <w:t>和</w:t>
      </w:r>
      <w:r>
        <w:rPr>
          <w:rFonts w:hint="eastAsia"/>
          <w:color w:val="auto"/>
          <w:sz w:val="32"/>
          <w:szCs w:val="32"/>
          <w:lang w:val="en-US" w:eastAsia="zh-CN"/>
        </w:rPr>
        <w:t>省委省政府印发的《关于完整准确全面贯彻新发展理念切实做好碳达峰碳中和工作的实施意见》要求，</w:t>
      </w:r>
      <w:r>
        <w:rPr>
          <w:rFonts w:hint="eastAsia" w:eastAsia="仿宋_GB2312"/>
          <w:color w:val="auto"/>
          <w:sz w:val="32"/>
          <w:szCs w:val="32"/>
          <w:lang w:val="en-US" w:eastAsia="zh-CN"/>
        </w:rPr>
        <w:t>推动</w:t>
      </w:r>
      <w:r>
        <w:rPr>
          <w:rFonts w:hint="eastAsia"/>
          <w:color w:val="auto"/>
          <w:sz w:val="32"/>
          <w:szCs w:val="32"/>
          <w:lang w:val="en-US" w:eastAsia="zh-CN"/>
        </w:rPr>
        <w:t>落实建材</w:t>
      </w:r>
      <w:r>
        <w:rPr>
          <w:rFonts w:hint="eastAsia" w:eastAsia="仿宋_GB2312"/>
          <w:color w:val="auto"/>
          <w:sz w:val="32"/>
          <w:szCs w:val="32"/>
          <w:lang w:val="en-US" w:eastAsia="zh-CN"/>
        </w:rPr>
        <w:t>行业碳达峰行</w:t>
      </w:r>
      <w:r>
        <w:rPr>
          <w:rFonts w:hint="eastAsia" w:eastAsia="仿宋_GB2312" w:cs="Times New Roman"/>
          <w:color w:val="auto"/>
          <w:sz w:val="32"/>
          <w:szCs w:val="32"/>
          <w:lang w:val="en-US" w:eastAsia="zh-CN"/>
        </w:rPr>
        <w:t>动</w:t>
      </w:r>
      <w:r>
        <w:rPr>
          <w:rFonts w:hint="eastAsia" w:ascii="Times New Roman" w:hAnsi="Times New Roman" w:eastAsia="仿宋_GB2312" w:cs="Times New Roman"/>
          <w:color w:val="auto"/>
          <w:kern w:val="2"/>
          <w:sz w:val="32"/>
          <w:szCs w:val="32"/>
          <w:highlight w:val="none"/>
          <w:lang w:val="en-US" w:eastAsia="zh-CN" w:bidi="ar-SA"/>
        </w:rPr>
        <w:t>方案。</w:t>
      </w:r>
      <w:r>
        <w:rPr>
          <w:rFonts w:hint="eastAsia" w:ascii="Times New Roman" w:hAnsi="Times New Roman" w:cs="Times New Roman"/>
          <w:color w:val="auto"/>
          <w:kern w:val="2"/>
          <w:sz w:val="32"/>
          <w:szCs w:val="32"/>
          <w:highlight w:val="none"/>
          <w:lang w:val="en-US" w:eastAsia="zh-CN" w:bidi="ar-SA"/>
        </w:rPr>
        <w:t>引导</w:t>
      </w:r>
      <w:r>
        <w:rPr>
          <w:rFonts w:hint="default" w:ascii="Times New Roman" w:hAnsi="Times New Roman" w:eastAsia="仿宋_GB2312" w:cs="Times New Roman"/>
          <w:color w:val="auto"/>
          <w:kern w:val="2"/>
          <w:sz w:val="32"/>
          <w:szCs w:val="32"/>
          <w:highlight w:val="none"/>
          <w:lang w:val="en-US" w:eastAsia="zh-CN" w:bidi="ar-SA"/>
        </w:rPr>
        <w:t>水泥</w:t>
      </w:r>
      <w:r>
        <w:rPr>
          <w:rFonts w:hint="eastAsia" w:ascii="Times New Roman" w:hAnsi="Times New Roman" w:eastAsia="仿宋_GB2312" w:cs="Times New Roman"/>
          <w:color w:val="auto"/>
          <w:kern w:val="2"/>
          <w:sz w:val="32"/>
          <w:szCs w:val="32"/>
          <w:highlight w:val="none"/>
          <w:lang w:val="en-US" w:eastAsia="zh-CN" w:bidi="ar-SA"/>
        </w:rPr>
        <w:t>熟料</w:t>
      </w:r>
      <w:r>
        <w:rPr>
          <w:rFonts w:hint="default" w:ascii="Times New Roman" w:hAnsi="Times New Roman" w:eastAsia="仿宋_GB2312" w:cs="Times New Roman"/>
          <w:color w:val="auto"/>
          <w:kern w:val="2"/>
          <w:sz w:val="32"/>
          <w:szCs w:val="32"/>
          <w:highlight w:val="none"/>
          <w:lang w:val="en-US" w:eastAsia="zh-CN" w:bidi="ar-SA"/>
        </w:rPr>
        <w:t>企业开展节能改造，采用水泥熟料回转窑余热发电、高效篦式冷却机改造、大推力、低一次风量多通道燃烧器技术、集成模块化窑衬节能技术、带分级燃烧的高效低阻预热器系统、高效节能粉磨设备等</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cs="Times New Roman"/>
          <w:color w:val="auto"/>
          <w:kern w:val="2"/>
          <w:sz w:val="32"/>
          <w:szCs w:val="32"/>
          <w:highlight w:val="none"/>
          <w:lang w:val="en-US" w:eastAsia="zh-CN" w:bidi="ar-SA"/>
        </w:rPr>
        <w:t>推动水泥企业进行常态化错峰生产。协调</w:t>
      </w:r>
      <w:r>
        <w:rPr>
          <w:rFonts w:hint="eastAsia" w:ascii="Times New Roman" w:hAnsi="Times New Roman" w:eastAsia="仿宋_GB2312" w:cs="Times New Roman"/>
          <w:color w:val="auto"/>
          <w:kern w:val="2"/>
          <w:sz w:val="32"/>
          <w:szCs w:val="32"/>
          <w:highlight w:val="none"/>
          <w:lang w:val="en-US" w:eastAsia="zh-CN" w:bidi="ar-SA"/>
        </w:rPr>
        <w:t>推动水</w:t>
      </w:r>
      <w:r>
        <w:rPr>
          <w:rFonts w:hint="eastAsia" w:hAnsi="仿宋" w:eastAsia="仿宋"/>
          <w:color w:val="auto"/>
          <w:sz w:val="32"/>
          <w:szCs w:val="32"/>
          <w:lang w:val="en-US" w:eastAsia="zh-CN"/>
        </w:rPr>
        <w:t>泥熟料企业全面完成超低排放改造。</w:t>
      </w:r>
      <w:r>
        <w:rPr>
          <w:rFonts w:hint="eastAsia" w:ascii="仿宋_GB2312" w:hAnsi="仿宋_GB2312" w:cs="仿宋_GB2312"/>
          <w:color w:val="auto"/>
          <w:sz w:val="32"/>
          <w:szCs w:val="40"/>
          <w:lang w:val="en-US" w:eastAsia="zh-CN"/>
        </w:rPr>
        <w:t>推动绿色建材产业发展，鼓励企业进行绿色建材产品认证，研发和生产绿色建材产品。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outlineLvl w:val="9"/>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四、保障措施</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楷体" w:eastAsia="楷体"/>
          <w:b/>
          <w:bCs/>
          <w:color w:val="auto"/>
          <w:sz w:val="32"/>
          <w:szCs w:val="32"/>
        </w:rPr>
      </w:pPr>
      <w:r>
        <w:rPr>
          <w:rFonts w:hint="eastAsia" w:ascii="楷体" w:eastAsia="楷体"/>
          <w:b/>
          <w:bCs/>
          <w:color w:val="auto"/>
          <w:sz w:val="32"/>
          <w:szCs w:val="32"/>
        </w:rPr>
        <w:t>（一）加强组织领导</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eastAsia="楷体_GB2312" w:cs="楷体_GB2312"/>
          <w:color w:val="auto"/>
          <w:sz w:val="32"/>
          <w:szCs w:val="32"/>
          <w:lang w:bidi="ar-SA"/>
        </w:rPr>
      </w:pPr>
      <w:r>
        <w:rPr>
          <w:rFonts w:hint="eastAsia" w:ascii="仿宋_GB2312" w:eastAsia="仿宋_GB2312"/>
          <w:color w:val="auto"/>
          <w:sz w:val="32"/>
          <w:szCs w:val="32"/>
        </w:rPr>
        <w:t>各市</w:t>
      </w:r>
      <w:r>
        <w:rPr>
          <w:rFonts w:hint="eastAsia" w:ascii="仿宋_GB2312"/>
          <w:color w:val="auto"/>
          <w:sz w:val="32"/>
          <w:szCs w:val="32"/>
          <w:lang w:eastAsia="zh-CN"/>
        </w:rPr>
        <w:t>工信</w:t>
      </w:r>
      <w:r>
        <w:rPr>
          <w:rFonts w:hint="eastAsia" w:ascii="仿宋_GB2312" w:eastAsia="仿宋_GB2312"/>
          <w:color w:val="auto"/>
          <w:sz w:val="32"/>
          <w:szCs w:val="32"/>
        </w:rPr>
        <w:t>部门要充分认识促进</w:t>
      </w:r>
      <w:r>
        <w:rPr>
          <w:rFonts w:hint="eastAsia" w:ascii="仿宋_GB2312" w:eastAsia="仿宋_GB2312"/>
          <w:color w:val="auto"/>
          <w:sz w:val="32"/>
          <w:szCs w:val="32"/>
          <w:lang w:eastAsia="zh-CN"/>
        </w:rPr>
        <w:t>建材</w:t>
      </w:r>
      <w:r>
        <w:rPr>
          <w:rFonts w:hint="eastAsia" w:ascii="仿宋_GB2312" w:eastAsia="仿宋_GB2312"/>
          <w:color w:val="auto"/>
          <w:sz w:val="32"/>
          <w:szCs w:val="32"/>
        </w:rPr>
        <w:t>行业</w:t>
      </w:r>
      <w:r>
        <w:rPr>
          <w:rFonts w:ascii="仿宋_GB2312" w:eastAsia="仿宋_GB2312"/>
          <w:color w:val="auto"/>
          <w:sz w:val="32"/>
          <w:szCs w:val="32"/>
        </w:rPr>
        <w:t>改造提升</w:t>
      </w:r>
      <w:r>
        <w:rPr>
          <w:rFonts w:hint="eastAsia" w:ascii="仿宋_GB2312" w:eastAsia="仿宋_GB2312"/>
          <w:color w:val="auto"/>
          <w:sz w:val="32"/>
          <w:szCs w:val="32"/>
        </w:rPr>
        <w:t>高质量发展的重大意义，加快推进</w:t>
      </w:r>
      <w:r>
        <w:rPr>
          <w:rFonts w:hint="eastAsia" w:ascii="仿宋_GB2312" w:eastAsia="仿宋_GB2312"/>
          <w:color w:val="auto"/>
          <w:sz w:val="32"/>
          <w:szCs w:val="32"/>
          <w:lang w:eastAsia="zh-CN"/>
        </w:rPr>
        <w:t>建材</w:t>
      </w:r>
      <w:r>
        <w:rPr>
          <w:rFonts w:hint="eastAsia" w:ascii="仿宋_GB2312" w:eastAsia="仿宋_GB2312"/>
          <w:color w:val="auto"/>
          <w:sz w:val="32"/>
          <w:szCs w:val="32"/>
        </w:rPr>
        <w:t>行业实施技术改造。各市人民政府对本行政区域企业技术改造</w:t>
      </w:r>
      <w:r>
        <w:rPr>
          <w:rFonts w:hint="eastAsia" w:eastAsia="仿宋_GB2312"/>
          <w:color w:val="auto"/>
          <w:sz w:val="32"/>
          <w:szCs w:val="32"/>
        </w:rPr>
        <w:t>工作</w:t>
      </w:r>
      <w:r>
        <w:rPr>
          <w:rFonts w:hint="eastAsia" w:ascii="仿宋_GB2312" w:eastAsia="仿宋_GB2312"/>
          <w:color w:val="auto"/>
          <w:sz w:val="32"/>
          <w:szCs w:val="32"/>
        </w:rPr>
        <w:t>负总责，要制定工作方案，</w:t>
      </w:r>
      <w:r>
        <w:rPr>
          <w:rFonts w:ascii="仿宋_GB2312" w:eastAsia="仿宋_GB2312"/>
          <w:color w:val="auto"/>
          <w:sz w:val="32"/>
          <w:szCs w:val="32"/>
        </w:rPr>
        <w:t>出台</w:t>
      </w:r>
      <w:r>
        <w:rPr>
          <w:rFonts w:hint="eastAsia" w:ascii="仿宋_GB2312" w:eastAsia="仿宋_GB2312"/>
          <w:color w:val="auto"/>
          <w:sz w:val="32"/>
          <w:szCs w:val="32"/>
        </w:rPr>
        <w:t>相关举措，引导鼓励企业根据生产实际和工艺技术，选择最优改造措施，明确具体的任务清单、责任清单。</w:t>
      </w:r>
    </w:p>
    <w:p>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bidi w:val="0"/>
        <w:adjustRightInd/>
        <w:snapToGrid w:val="0"/>
        <w:spacing w:line="560" w:lineRule="exact"/>
        <w:ind w:right="0" w:rightChars="0" w:firstLine="642" w:firstLineChars="200"/>
        <w:contextualSpacing/>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eastAsia"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lang w:val="en-US" w:eastAsia="zh-CN"/>
        </w:rPr>
        <w:t>开展入企服务</w:t>
      </w:r>
    </w:p>
    <w:p>
      <w:pPr>
        <w:keepNext w:val="0"/>
        <w:keepLines w:val="0"/>
        <w:pageBreakBefore w:val="0"/>
        <w:widowControl/>
        <w:pBdr>
          <w:top w:val="none" w:color="000000" w:sz="0" w:space="0"/>
          <w:left w:val="none" w:color="000000" w:sz="0" w:space="0"/>
          <w:bottom w:val="none" w:color="000000" w:sz="0" w:space="15"/>
          <w:right w:val="none" w:color="000000" w:sz="0" w:space="0"/>
        </w:pBdr>
        <w:kinsoku/>
        <w:wordWrap/>
        <w:overflowPunct/>
        <w:topLinePunct w:val="0"/>
        <w:autoSpaceDE/>
        <w:autoSpaceDN/>
        <w:bidi w:val="0"/>
        <w:adjustRightInd/>
        <w:snapToGrid w:val="0"/>
        <w:spacing w:line="560" w:lineRule="exact"/>
        <w:ind w:left="0" w:right="0" w:firstLine="640" w:firstLineChars="200"/>
        <w:contextualSpacing/>
        <w:jc w:val="both"/>
        <w:textAlignment w:val="auto"/>
        <w:rPr>
          <w:rFonts w:hint="eastAsia" w:ascii="仿宋_GB2312" w:eastAsia="仿宋_GB2312" w:cs="仿宋_GB2312"/>
          <w:color w:val="auto"/>
          <w:szCs w:val="32"/>
          <w:lang w:bidi="ar-SA"/>
        </w:rPr>
      </w:pPr>
      <w:r>
        <w:rPr>
          <w:rFonts w:hint="eastAsia" w:ascii="仿宋_GB2312" w:eastAsia="仿宋_GB2312" w:cs="仿宋_GB2312"/>
          <w:color w:val="auto"/>
          <w:szCs w:val="32"/>
          <w:lang w:bidi="ar-SA"/>
        </w:rPr>
        <w:t>围绕“促进企业提质升级、遴选支持重点项目、实施精准帮扶服务”，全方位开展入企服务活动，在政策支持、项目推进、要素保障等方面开展精准服务，助推企业实现提质升级高质量发展。</w:t>
      </w:r>
    </w:p>
    <w:p>
      <w:pPr>
        <w:keepNext w:val="0"/>
        <w:keepLines w:val="0"/>
        <w:pageBreakBefore w:val="0"/>
        <w:widowControl/>
        <w:numPr>
          <w:ilvl w:val="0"/>
          <w:numId w:val="1"/>
        </w:numPr>
        <w:pBdr>
          <w:top w:val="none" w:color="000000" w:sz="0" w:space="0"/>
          <w:left w:val="none" w:color="000000" w:sz="0" w:space="0"/>
          <w:bottom w:val="none" w:color="000000" w:sz="0" w:space="15"/>
          <w:right w:val="none" w:color="000000" w:sz="0" w:space="0"/>
        </w:pBdr>
        <w:kinsoku/>
        <w:wordWrap/>
        <w:overflowPunct/>
        <w:topLinePunct w:val="0"/>
        <w:autoSpaceDE/>
        <w:autoSpaceDN/>
        <w:bidi w:val="0"/>
        <w:adjustRightInd/>
        <w:snapToGrid w:val="0"/>
        <w:spacing w:line="560" w:lineRule="exact"/>
        <w:ind w:left="0" w:right="0" w:firstLine="642" w:firstLineChars="200"/>
        <w:contextualSpacing/>
        <w:jc w:val="both"/>
        <w:textAlignment w:val="auto"/>
        <w:rPr>
          <w:rFonts w:hint="eastAsia" w:ascii="楷体" w:eastAsia="楷体" w:cs="楷体"/>
          <w:b/>
          <w:bCs/>
          <w:color w:val="auto"/>
          <w:kern w:val="2"/>
          <w:sz w:val="32"/>
          <w:szCs w:val="32"/>
          <w:vertAlign w:val="baseline"/>
          <w:lang w:val="en-US" w:eastAsia="zh-CN" w:bidi="ar"/>
        </w:rPr>
      </w:pPr>
      <w:r>
        <w:rPr>
          <w:rFonts w:hint="eastAsia" w:ascii="楷体" w:eastAsia="楷体" w:cs="楷体"/>
          <w:b/>
          <w:bCs/>
          <w:color w:val="auto"/>
          <w:kern w:val="2"/>
          <w:sz w:val="32"/>
          <w:szCs w:val="32"/>
          <w:vertAlign w:val="baseline"/>
          <w:lang w:val="en-US" w:eastAsia="zh-CN" w:bidi="ar"/>
        </w:rPr>
        <w:t>强化政策支持</w:t>
      </w:r>
    </w:p>
    <w:p>
      <w:pPr>
        <w:keepNext w:val="0"/>
        <w:keepLines w:val="0"/>
        <w:pageBreakBefore w:val="0"/>
        <w:widowControl/>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bidi w:val="0"/>
        <w:adjustRightInd/>
        <w:snapToGrid w:val="0"/>
        <w:spacing w:line="560" w:lineRule="exact"/>
        <w:ind w:right="0" w:rightChars="0" w:firstLine="640" w:firstLineChars="200"/>
        <w:contextualSpacing/>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仿宋_GB2312" w:cs="仿宋_GB2312"/>
          <w:bCs/>
          <w:color w:val="auto"/>
          <w:kern w:val="2"/>
          <w:sz w:val="32"/>
          <w:szCs w:val="32"/>
          <w:vertAlign w:val="baseline"/>
          <w:lang w:val="en-US" w:eastAsia="zh-CN" w:bidi="ar"/>
        </w:rPr>
        <w:t>深入贯彻落实</w:t>
      </w:r>
      <w:r>
        <w:rPr>
          <w:rFonts w:hint="eastAsia" w:ascii="仿宋_GB2312" w:eastAsia="仿宋_GB2312" w:cs="仿宋_GB2312"/>
          <w:bCs/>
          <w:color w:val="auto"/>
          <w:kern w:val="2"/>
          <w:sz w:val="32"/>
          <w:szCs w:val="32"/>
          <w:vertAlign w:val="baseline"/>
          <w:lang w:val="en-US" w:eastAsia="zh-CN" w:bidi="ar"/>
        </w:rPr>
        <w:t>支持</w:t>
      </w:r>
      <w:r>
        <w:rPr>
          <w:rFonts w:hint="eastAsia" w:ascii="仿宋_GB2312" w:cs="仿宋_GB2312"/>
          <w:bCs/>
          <w:color w:val="auto"/>
          <w:kern w:val="2"/>
          <w:sz w:val="32"/>
          <w:szCs w:val="32"/>
          <w:vertAlign w:val="baseline"/>
          <w:lang w:val="en-US" w:eastAsia="zh-CN" w:bidi="ar"/>
        </w:rPr>
        <w:t>建材</w:t>
      </w:r>
      <w:r>
        <w:rPr>
          <w:rFonts w:hint="eastAsia" w:ascii="仿宋_GB2312" w:eastAsia="仿宋_GB2312" w:cs="仿宋_GB2312"/>
          <w:bCs/>
          <w:color w:val="auto"/>
          <w:kern w:val="2"/>
          <w:sz w:val="32"/>
          <w:szCs w:val="32"/>
          <w:vertAlign w:val="baseline"/>
          <w:lang w:val="en-US" w:eastAsia="zh-CN" w:bidi="ar"/>
        </w:rPr>
        <w:t>行业改造提升的节能、环保、安全、财政、金融、土地等政策，强化政策衔接配合，形成政策合力。</w:t>
      </w:r>
      <w:r>
        <w:rPr>
          <w:rFonts w:hint="eastAsia" w:ascii="仿宋_GB2312" w:cs="仿宋_GB2312"/>
          <w:bCs/>
          <w:color w:val="auto"/>
          <w:kern w:val="2"/>
          <w:sz w:val="32"/>
          <w:szCs w:val="32"/>
          <w:vertAlign w:val="baseline"/>
          <w:lang w:val="en-US" w:eastAsia="zh-CN" w:bidi="ar"/>
        </w:rPr>
        <w:t>协调指导水泥熟料</w:t>
      </w:r>
      <w:r>
        <w:rPr>
          <w:rFonts w:hint="eastAsia" w:ascii="仿宋_GB2312" w:eastAsia="仿宋_GB2312" w:cs="仿宋_GB2312"/>
          <w:bCs/>
          <w:color w:val="auto"/>
          <w:kern w:val="2"/>
          <w:sz w:val="32"/>
          <w:szCs w:val="32"/>
          <w:vertAlign w:val="baseline"/>
          <w:lang w:val="en-US" w:eastAsia="zh-CN" w:bidi="ar"/>
        </w:rPr>
        <w:t>行业兼并重组，着力提升产业集中度。充分发挥价格杠杆作用，对优质产能、节能环保先进企业加大政策扶持力度，促进产业结构调整和技术升级。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0" w:leftChars="0"/>
        <w:textAlignment w:val="auto"/>
        <w:rPr>
          <w:rFonts w:hint="eastAsia" w:ascii="楷体" w:eastAsia="楷体"/>
          <w:b/>
          <w:bCs/>
          <w:color w:val="auto"/>
          <w:sz w:val="32"/>
          <w:szCs w:val="32"/>
        </w:rPr>
      </w:pPr>
      <w:r>
        <w:rPr>
          <w:rFonts w:hint="eastAsia" w:ascii="楷体" w:eastAsia="楷体"/>
          <w:b/>
          <w:bCs/>
          <w:color w:val="auto"/>
          <w:sz w:val="32"/>
          <w:szCs w:val="32"/>
          <w:lang w:eastAsia="zh-CN"/>
        </w:rPr>
        <w:t>（四）</w:t>
      </w:r>
      <w:r>
        <w:rPr>
          <w:rFonts w:hint="eastAsia" w:ascii="楷体" w:eastAsia="楷体"/>
          <w:b/>
          <w:bCs/>
          <w:color w:val="auto"/>
          <w:sz w:val="32"/>
          <w:szCs w:val="32"/>
        </w:rPr>
        <w:t>加强动态管控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各市人民政府要加强</w:t>
      </w:r>
      <w:r>
        <w:rPr>
          <w:rFonts w:hint="eastAsia" w:ascii="仿宋_GB2312" w:eastAsia="仿宋_GB2312"/>
          <w:color w:val="auto"/>
          <w:sz w:val="32"/>
          <w:szCs w:val="32"/>
          <w:lang w:eastAsia="zh-CN"/>
        </w:rPr>
        <w:t>建材企业</w:t>
      </w:r>
      <w:r>
        <w:rPr>
          <w:rFonts w:hint="eastAsia" w:ascii="仿宋_GB2312" w:eastAsia="仿宋_GB2312"/>
          <w:color w:val="auto"/>
          <w:sz w:val="32"/>
          <w:szCs w:val="32"/>
        </w:rPr>
        <w:t>技术改造项目进度管理，不断强化工作激励和约束机制。对提前完成技术改造</w:t>
      </w:r>
      <w:r>
        <w:rPr>
          <w:rFonts w:hint="eastAsia" w:ascii="仿宋_GB2312"/>
          <w:color w:val="auto"/>
          <w:sz w:val="32"/>
          <w:szCs w:val="32"/>
          <w:lang w:eastAsia="zh-CN"/>
        </w:rPr>
        <w:t>的企业</w:t>
      </w:r>
      <w:r>
        <w:rPr>
          <w:rFonts w:hint="eastAsia" w:ascii="仿宋_GB2312" w:eastAsia="仿宋_GB2312"/>
          <w:color w:val="auto"/>
          <w:sz w:val="32"/>
          <w:szCs w:val="32"/>
        </w:rPr>
        <w:t>，在资源配置、发展规划等方面给予优先支持；对节能技术改造项目进度缓慢的企业，要加强督促指导，加快项目推进力度</w:t>
      </w:r>
      <w:r>
        <w:rPr>
          <w:rFonts w:hint="eastAsia" w:ascii="仿宋_GB2312"/>
          <w:color w:val="auto"/>
          <w:sz w:val="32"/>
          <w:szCs w:val="32"/>
          <w:lang w:eastAsia="zh-CN"/>
        </w:rPr>
        <w:t>，推动企业按时完成技术改造</w:t>
      </w:r>
      <w:r>
        <w:rPr>
          <w:rFonts w:hint="eastAsia" w:ascii="仿宋_GB2312" w:eastAsia="仿宋_GB2312"/>
          <w:color w:val="auto"/>
          <w:sz w:val="32"/>
          <w:szCs w:val="32"/>
        </w:rPr>
        <w:t>。</w:t>
      </w:r>
    </w:p>
    <w:p>
      <w:pPr>
        <w:pStyle w:val="2"/>
        <w:pageBreakBefore w:val="0"/>
        <w:kinsoku/>
        <w:wordWrap/>
        <w:overflowPunct/>
        <w:topLinePunct w:val="0"/>
        <w:autoSpaceDE/>
        <w:autoSpaceDN/>
        <w:bidi w:val="0"/>
        <w:adjustRightInd/>
        <w:snapToGrid w:val="0"/>
        <w:spacing w:line="560" w:lineRule="exact"/>
        <w:textAlignment w:val="auto"/>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2010600030101010101"/>
    <w:charset w:val="81"/>
    <w:family w:val="decorative"/>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96027"/>
    <w:multiLevelType w:val="singleLevel"/>
    <w:tmpl w:val="7BE960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A62E6"/>
    <w:rsid w:val="02536CA8"/>
    <w:rsid w:val="02787779"/>
    <w:rsid w:val="0290393A"/>
    <w:rsid w:val="03684AF7"/>
    <w:rsid w:val="05CE6E6B"/>
    <w:rsid w:val="06DF7AD9"/>
    <w:rsid w:val="0705311C"/>
    <w:rsid w:val="095F49B4"/>
    <w:rsid w:val="0A11053C"/>
    <w:rsid w:val="0AB928D3"/>
    <w:rsid w:val="0BCE766F"/>
    <w:rsid w:val="0BE13E82"/>
    <w:rsid w:val="0C4C3836"/>
    <w:rsid w:val="0E39680E"/>
    <w:rsid w:val="0F692ADF"/>
    <w:rsid w:val="10083E19"/>
    <w:rsid w:val="11441676"/>
    <w:rsid w:val="115F7BF1"/>
    <w:rsid w:val="127502AD"/>
    <w:rsid w:val="132D1053"/>
    <w:rsid w:val="15502F77"/>
    <w:rsid w:val="1845142F"/>
    <w:rsid w:val="18BE1ADD"/>
    <w:rsid w:val="1B2724A7"/>
    <w:rsid w:val="1B58484E"/>
    <w:rsid w:val="1CB526C7"/>
    <w:rsid w:val="1FEF3CE0"/>
    <w:rsid w:val="20BC5E48"/>
    <w:rsid w:val="20F52E6B"/>
    <w:rsid w:val="2141227F"/>
    <w:rsid w:val="230816F8"/>
    <w:rsid w:val="2341774D"/>
    <w:rsid w:val="238A46DF"/>
    <w:rsid w:val="23CB7992"/>
    <w:rsid w:val="24876CCD"/>
    <w:rsid w:val="269D57A8"/>
    <w:rsid w:val="29E5416E"/>
    <w:rsid w:val="2AF40ACD"/>
    <w:rsid w:val="2EDFB92B"/>
    <w:rsid w:val="2F7B4DA0"/>
    <w:rsid w:val="2FBFAACA"/>
    <w:rsid w:val="2FDF8DFB"/>
    <w:rsid w:val="306A2AF2"/>
    <w:rsid w:val="31F929AF"/>
    <w:rsid w:val="320F3C69"/>
    <w:rsid w:val="33164081"/>
    <w:rsid w:val="33AB4173"/>
    <w:rsid w:val="352A732B"/>
    <w:rsid w:val="352F1680"/>
    <w:rsid w:val="37892064"/>
    <w:rsid w:val="38592CB3"/>
    <w:rsid w:val="389900B7"/>
    <w:rsid w:val="38B43E47"/>
    <w:rsid w:val="39544960"/>
    <w:rsid w:val="3AD951C1"/>
    <w:rsid w:val="3C007E95"/>
    <w:rsid w:val="3C924AD5"/>
    <w:rsid w:val="3E076115"/>
    <w:rsid w:val="3F7836F5"/>
    <w:rsid w:val="3FAECC05"/>
    <w:rsid w:val="405A62E6"/>
    <w:rsid w:val="40CA7A92"/>
    <w:rsid w:val="420A1B35"/>
    <w:rsid w:val="483957FC"/>
    <w:rsid w:val="49E168E7"/>
    <w:rsid w:val="4BAA150A"/>
    <w:rsid w:val="4C684D7F"/>
    <w:rsid w:val="4D8749AA"/>
    <w:rsid w:val="4E0A7AF9"/>
    <w:rsid w:val="50225E50"/>
    <w:rsid w:val="50454C38"/>
    <w:rsid w:val="510058F9"/>
    <w:rsid w:val="53E01863"/>
    <w:rsid w:val="546B2216"/>
    <w:rsid w:val="55B64801"/>
    <w:rsid w:val="56FD6445"/>
    <w:rsid w:val="57A27ECD"/>
    <w:rsid w:val="5821156C"/>
    <w:rsid w:val="58573F10"/>
    <w:rsid w:val="5FB31440"/>
    <w:rsid w:val="5FD305E0"/>
    <w:rsid w:val="5FEEA04B"/>
    <w:rsid w:val="6070432F"/>
    <w:rsid w:val="6528109E"/>
    <w:rsid w:val="68445372"/>
    <w:rsid w:val="685B7E78"/>
    <w:rsid w:val="68743E7B"/>
    <w:rsid w:val="68B56588"/>
    <w:rsid w:val="68E01D74"/>
    <w:rsid w:val="69612C0D"/>
    <w:rsid w:val="69943C6C"/>
    <w:rsid w:val="69DD266B"/>
    <w:rsid w:val="6A795128"/>
    <w:rsid w:val="6AF234A3"/>
    <w:rsid w:val="6D005BF3"/>
    <w:rsid w:val="6EE73473"/>
    <w:rsid w:val="70AA2BEA"/>
    <w:rsid w:val="70F92517"/>
    <w:rsid w:val="725006AE"/>
    <w:rsid w:val="72D6122A"/>
    <w:rsid w:val="733226D7"/>
    <w:rsid w:val="737C6D6C"/>
    <w:rsid w:val="73D93C3E"/>
    <w:rsid w:val="73F91EFD"/>
    <w:rsid w:val="75505A7F"/>
    <w:rsid w:val="75E96C26"/>
    <w:rsid w:val="76621C61"/>
    <w:rsid w:val="76DF0096"/>
    <w:rsid w:val="76F543C0"/>
    <w:rsid w:val="76FF483D"/>
    <w:rsid w:val="777EE000"/>
    <w:rsid w:val="777FD0FC"/>
    <w:rsid w:val="779F5F2A"/>
    <w:rsid w:val="7A1E63AF"/>
    <w:rsid w:val="7A411D42"/>
    <w:rsid w:val="7ACE7A75"/>
    <w:rsid w:val="7B18116B"/>
    <w:rsid w:val="7B3E9D85"/>
    <w:rsid w:val="7BE4136A"/>
    <w:rsid w:val="7BFB032B"/>
    <w:rsid w:val="7C8437FA"/>
    <w:rsid w:val="7D597E3E"/>
    <w:rsid w:val="7DB73391"/>
    <w:rsid w:val="7DBE6CCD"/>
    <w:rsid w:val="7DE74D1A"/>
    <w:rsid w:val="7E9E5EDA"/>
    <w:rsid w:val="7F5ED842"/>
    <w:rsid w:val="7F7F658D"/>
    <w:rsid w:val="7FBD87B2"/>
    <w:rsid w:val="7FC2960D"/>
    <w:rsid w:val="7FCF1EA4"/>
    <w:rsid w:val="7FE5AC1E"/>
    <w:rsid w:val="86FD4760"/>
    <w:rsid w:val="95FA5F15"/>
    <w:rsid w:val="B1FFFA90"/>
    <w:rsid w:val="B6672F66"/>
    <w:rsid w:val="BE371DD8"/>
    <w:rsid w:val="BFFD045F"/>
    <w:rsid w:val="BFFFB4C6"/>
    <w:rsid w:val="C7AF6468"/>
    <w:rsid w:val="DF7E7276"/>
    <w:rsid w:val="DFF933E2"/>
    <w:rsid w:val="DFFE0590"/>
    <w:rsid w:val="E1DE391F"/>
    <w:rsid w:val="E27D6AF4"/>
    <w:rsid w:val="E5DF8D32"/>
    <w:rsid w:val="E7D8AA87"/>
    <w:rsid w:val="E7FF0F5E"/>
    <w:rsid w:val="F3BDE2D9"/>
    <w:rsid w:val="F67F0441"/>
    <w:rsid w:val="F7FF34E7"/>
    <w:rsid w:val="F93B7C1B"/>
    <w:rsid w:val="FB3B05ED"/>
    <w:rsid w:val="FEC41010"/>
    <w:rsid w:val="FFDB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88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widowControl w:val="0"/>
      <w:ind w:firstLine="0"/>
      <w:outlineLvl w:val="1"/>
    </w:pPr>
    <w:rPr>
      <w:b/>
    </w:rPr>
  </w:style>
  <w:style w:type="paragraph" w:styleId="2">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unhideWhenUsed/>
    <w:qFormat/>
    <w:uiPriority w:val="0"/>
    <w:pPr>
      <w:keepNext/>
      <w:keepLines/>
      <w:widowControl w:val="0"/>
      <w:spacing w:before="280" w:after="290" w:line="376" w:lineRule="atLeast"/>
      <w:jc w:val="both"/>
      <w:outlineLvl w:val="3"/>
    </w:pPr>
    <w:rPr>
      <w:rFonts w:ascii="Arial" w:hAnsi="Arial" w:eastAsia="黑体" w:cs="Times New Roman"/>
      <w:b/>
      <w:kern w:val="2"/>
      <w:sz w:val="28"/>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200" w:firstLineChars="200"/>
    </w:pPr>
  </w:style>
  <w:style w:type="paragraph" w:customStyle="1" w:styleId="7">
    <w:name w:val="样式1"/>
    <w:basedOn w:val="1"/>
    <w:qFormat/>
    <w:uiPriority w:val="0"/>
    <w:rPr>
      <w:b/>
      <w:color w:val="538135"/>
      <w:sz w:val="28"/>
    </w:rPr>
  </w:style>
  <w:style w:type="paragraph" w:styleId="8">
    <w:name w:val="Body Text"/>
    <w:basedOn w:val="1"/>
    <w:next w:val="1"/>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9">
    <w:name w:val="Plain Text"/>
    <w:basedOn w:val="1"/>
    <w:qFormat/>
    <w:uiPriority w:val="0"/>
    <w:rPr>
      <w:rFonts w:ascii="宋体" w:hAnsi="Courier New" w:eastAsia="宋体" w:cs="Times New Roman"/>
      <w:szCs w:val="21"/>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正文首行缩进 21"/>
    <w:basedOn w:val="17"/>
    <w:next w:val="10"/>
    <w:qFormat/>
    <w:uiPriority w:val="0"/>
    <w:pPr>
      <w:ind w:left="200" w:leftChars="200"/>
    </w:pPr>
    <w:rPr>
      <w:rFonts w:eastAsia="仿宋_GB2312"/>
      <w:sz w:val="32"/>
      <w:szCs w:val="32"/>
    </w:rPr>
  </w:style>
  <w:style w:type="paragraph" w:customStyle="1" w:styleId="17">
    <w:name w:val="正文文本缩进1"/>
    <w:basedOn w:val="1"/>
    <w:qFormat/>
    <w:uiPriority w:val="0"/>
    <w:pPr>
      <w:ind w:left="200" w:leftChars="200"/>
    </w:pPr>
  </w:style>
  <w:style w:type="paragraph" w:customStyle="1" w:styleId="18">
    <w:name w:val="Body Text First Indent1"/>
    <w:basedOn w:val="8"/>
    <w:qFormat/>
    <w:uiPriority w:val="0"/>
    <w:pPr>
      <w:ind w:firstLine="420" w:firstLineChars="100"/>
    </w:pPr>
    <w:rPr>
      <w:rFonts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2021-09-21T00:04:00Z</dcterms:created>
  <dc:creator>李魁伟</dc:creator>
  <cp:lastModifiedBy>greatwall</cp:lastModifiedBy>
  <cp:lastPrinted>2022-02-24T08:49:00Z</cp:lastPrinted>
  <dcterms:modified xsi:type="dcterms:W3CDTF">2023-03-24T15:14:10Z</dcterms:modified>
  <dc:title>山西省工业和信息化厅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05154D8F44B24620A4A1C584FC32D8C5</vt:lpwstr>
  </property>
</Properties>
</file>