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黑体" w:hAnsi="黑体" w:eastAsia="黑体" w:cs="黑体"/>
          <w:color w:val="000000" w:themeColor="text1"/>
          <w:sz w:val="32"/>
          <w:szCs w:val="20"/>
          <w:lang w:eastAsia="zh-CN"/>
          <w14:textFill>
            <w14:solidFill>
              <w14:schemeClr w14:val="tx1"/>
            </w14:solidFill>
          </w14:textFill>
        </w:rPr>
      </w:pPr>
      <w:r>
        <w:rPr>
          <w:rFonts w:hint="eastAsia" w:ascii="黑体" w:hAnsi="黑体" w:eastAsia="黑体" w:cs="黑体"/>
          <w:color w:val="000000" w:themeColor="text1"/>
          <w:sz w:val="32"/>
          <w:szCs w:val="20"/>
          <w:lang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华文中宋" w:hAnsi="华文中宋" w:eastAsia="华文中宋"/>
          <w:color w:val="000000" w:themeColor="text1"/>
          <w:sz w:val="4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华文中宋" w:hAnsi="华文中宋" w:eastAsia="华文中宋"/>
          <w:color w:val="000000" w:themeColor="text1"/>
          <w:sz w:val="4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省基础研究计划（产业发展类）联合资助项目管理办法（试行）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第一章 总 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第一条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b w:val="0"/>
          <w:bCs/>
          <w:color w:val="000000"/>
          <w:sz w:val="32"/>
          <w:szCs w:val="32"/>
          <w:highlight w:val="none"/>
          <w:lang w:val="en-US" w:eastAsia="zh-CN"/>
        </w:rPr>
        <w:t>为强化省基础研究计划有组织创新，引导与整合社会资源投入基础研究，加强与我省经济社会发展需求的对接，推动我省自主创新能力提升，</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规范</w:t>
      </w:r>
      <w:r>
        <w:rPr>
          <w:rFonts w:hint="eastAsia" w:ascii="仿宋_GB2312" w:hAnsi="仿宋_GB2312" w:eastAsia="仿宋_GB2312" w:cs="仿宋_GB2312"/>
          <w:b w:val="0"/>
          <w:bCs/>
          <w:color w:val="000000" w:themeColor="text1"/>
          <w:sz w:val="32"/>
          <w:szCs w:val="32"/>
          <w:highlight w:val="none"/>
          <w:u w:val="none" w:color="auto"/>
          <w:lang w:eastAsia="zh-CN"/>
          <w14:textFill>
            <w14:solidFill>
              <w14:schemeClr w14:val="tx1"/>
            </w14:solidFill>
          </w14:textFill>
        </w:rPr>
        <w:t>省基础研究计划（产业发展类）联合资助</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项目管理</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根据《山西省科技计划项目管理办法》《省基础研究计划项目管理办法（试行）》</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等有关</w:t>
      </w:r>
      <w:r>
        <w:rPr>
          <w:rFonts w:hint="eastAsia" w:ascii="仿宋_GB2312" w:hAnsi="仿宋_GB2312" w:eastAsia="仿宋_GB2312" w:cs="仿宋_GB2312"/>
          <w:b w:val="0"/>
          <w:bCs/>
          <w:color w:val="000000" w:themeColor="text1"/>
          <w:sz w:val="32"/>
          <w:szCs w:val="32"/>
          <w:highlight w:val="none"/>
          <w14:textFill>
            <w14:solidFill>
              <w14:schemeClr w14:val="tx1"/>
            </w14:solidFill>
          </w14:textFill>
        </w:rPr>
        <w:t>规定，制定本办法。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 xml:space="preserve">条 </w:t>
      </w:r>
      <w:r>
        <w:rPr>
          <w:rFonts w:hint="eastAsia" w:ascii="仿宋_GB2312" w:hAnsi="仿宋_GB2312" w:eastAsia="仿宋_GB2312" w:cs="仿宋_GB2312"/>
          <w:b w:val="0"/>
          <w:bCs w:val="0"/>
          <w:color w:val="000000"/>
          <w:sz w:val="32"/>
          <w:szCs w:val="32"/>
          <w:highlight w:val="none"/>
          <w:lang w:val="en-US" w:eastAsia="zh-CN"/>
        </w:rPr>
        <w:t>省基础研究计划（产业发展类）联合资助项目</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（以下简称省</w:t>
      </w:r>
      <w:r>
        <w:rPr>
          <w:rFonts w:hint="eastAsia" w:ascii="仿宋_GB2312" w:hAnsi="仿宋_GB2312" w:eastAsia="仿宋_GB2312" w:cs="仿宋_GB2312"/>
          <w:b w:val="0"/>
          <w:bCs/>
          <w:color w:val="000000"/>
          <w:sz w:val="32"/>
          <w:szCs w:val="32"/>
          <w:highlight w:val="none"/>
          <w:lang w:val="en-US" w:eastAsia="zh-CN"/>
        </w:rPr>
        <w:t>联合资助项目</w:t>
      </w:r>
      <w:r>
        <w:rPr>
          <w:rFonts w:hint="eastAsia" w:ascii="仿宋_GB2312" w:hAnsi="仿宋_GB2312" w:eastAsia="仿宋_GB2312" w:cs="仿宋_GB2312"/>
          <w:b w:val="0"/>
          <w:bCs/>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旨在发挥</w:t>
      </w:r>
      <w:r>
        <w:rPr>
          <w:rFonts w:hint="eastAsia" w:ascii="仿宋_GB2312" w:hAnsi="仿宋_GB2312" w:eastAsia="仿宋_GB2312" w:cs="仿宋_GB2312"/>
          <w:color w:val="000000" w:themeColor="text1"/>
          <w:sz w:val="32"/>
          <w:szCs w:val="32"/>
          <w:highlight w:val="none"/>
          <w:u w:val="none" w:color="auto"/>
          <w:lang w:eastAsia="zh-CN"/>
          <w14:textFill>
            <w14:solidFill>
              <w14:schemeClr w14:val="tx1"/>
            </w14:solidFill>
          </w14:textFill>
        </w:rPr>
        <w:t>政府资金</w:t>
      </w:r>
      <w:r>
        <w:rPr>
          <w:rFonts w:hint="eastAsia" w:ascii="仿宋_GB2312" w:hAnsi="仿宋_GB2312" w:eastAsia="仿宋_GB2312" w:cs="仿宋_GB2312"/>
          <w:color w:val="000000" w:themeColor="text1"/>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导向</w:t>
      </w:r>
      <w:r>
        <w:rPr>
          <w:rFonts w:hint="eastAsia" w:ascii="仿宋_GB2312" w:hAnsi="仿宋_GB2312" w:eastAsia="仿宋_GB2312" w:cs="仿宋_GB2312"/>
          <w:color w:val="000000" w:themeColor="text1"/>
          <w:sz w:val="32"/>
          <w:szCs w:val="32"/>
          <w:highlight w:val="none"/>
          <w14:textFill>
            <w14:solidFill>
              <w14:schemeClr w14:val="tx1"/>
            </w14:solidFill>
          </w14:textFill>
        </w:rPr>
        <w:t>作用，由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山西省科学技术厅（以下简称省科技厅）</w:t>
      </w:r>
      <w:r>
        <w:rPr>
          <w:rFonts w:hint="eastAsia" w:ascii="仿宋_GB2312" w:hAnsi="仿宋_GB2312" w:eastAsia="仿宋_GB2312" w:cs="仿宋_GB2312"/>
          <w:color w:val="000000" w:themeColor="text1"/>
          <w:sz w:val="32"/>
          <w:szCs w:val="32"/>
          <w:highlight w:val="none"/>
          <w14:textFill>
            <w14:solidFill>
              <w14:schemeClr w14:val="tx1"/>
            </w14:solidFill>
          </w14:textFill>
        </w:rPr>
        <w:t>与联合资助方共同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资助</w:t>
      </w:r>
      <w:r>
        <w:rPr>
          <w:rFonts w:hint="eastAsia" w:ascii="仿宋_GB2312" w:hAnsi="仿宋_GB2312" w:eastAsia="仿宋_GB2312" w:cs="仿宋_GB2312"/>
          <w:color w:val="000000" w:themeColor="text1"/>
          <w:sz w:val="32"/>
          <w:szCs w:val="32"/>
          <w:highlight w:val="none"/>
          <w14:textFill>
            <w14:solidFill>
              <w14:schemeClr w14:val="tx1"/>
            </w14:solidFill>
          </w14:textFill>
        </w:rPr>
        <w:t>，围绕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我省区域创新发展、产业（行业）领域创新突破、企业关键核心技术攻关等</w:t>
      </w:r>
      <w:r>
        <w:rPr>
          <w:rFonts w:hint="eastAsia" w:ascii="仿宋_GB2312" w:hAnsi="仿宋_GB2312" w:eastAsia="仿宋_GB2312" w:cs="仿宋_GB2312"/>
          <w:color w:val="000000" w:themeColor="text1"/>
          <w:sz w:val="32"/>
          <w:szCs w:val="32"/>
          <w:highlight w:val="none"/>
          <w14:textFill>
            <w14:solidFill>
              <w14:schemeClr w14:val="tx1"/>
            </w14:solidFill>
          </w14:textFill>
        </w:rPr>
        <w:t>需求，吸引和集聚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省内</w:t>
      </w:r>
      <w:r>
        <w:rPr>
          <w:rFonts w:hint="eastAsia" w:ascii="仿宋_GB2312" w:hAnsi="仿宋_GB2312" w:eastAsia="仿宋_GB2312" w:cs="仿宋_GB2312"/>
          <w:color w:val="000000" w:themeColor="text1"/>
          <w:sz w:val="32"/>
          <w:szCs w:val="32"/>
          <w:highlight w:val="none"/>
          <w14:textFill>
            <w14:solidFill>
              <w14:schemeClr w14:val="tx1"/>
            </w14:solidFill>
          </w14:textFill>
        </w:rPr>
        <w:t>优势科研力量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，共同</w:t>
      </w:r>
      <w:r>
        <w:rPr>
          <w:rFonts w:hint="eastAsia" w:ascii="仿宋_GB2312" w:hAnsi="仿宋_GB2312" w:eastAsia="仿宋_GB2312" w:cs="仿宋_GB2312"/>
          <w:color w:val="000000" w:themeColor="text1"/>
          <w:sz w:val="32"/>
          <w:szCs w:val="32"/>
          <w:highlight w:val="none"/>
          <w14:textFill>
            <w14:solidFill>
              <w14:schemeClr w14:val="tx1"/>
            </w14:solidFill>
          </w14:textFill>
        </w:rPr>
        <w:t>开展</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基础与应用基础</w:t>
      </w:r>
      <w:r>
        <w:rPr>
          <w:rFonts w:hint="eastAsia" w:ascii="仿宋_GB2312" w:hAnsi="仿宋_GB2312" w:eastAsia="仿宋_GB2312" w:cs="仿宋_GB2312"/>
          <w:color w:val="000000" w:themeColor="text1"/>
          <w:sz w:val="32"/>
          <w:szCs w:val="32"/>
          <w:highlight w:val="none"/>
          <w14:textFill>
            <w14:solidFill>
              <w14:schemeClr w14:val="tx1"/>
            </w14:solidFill>
          </w14:textFill>
        </w:rPr>
        <w:t>研究，促进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各设区市、产业（行业）</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企</w:t>
      </w:r>
      <w:r>
        <w:rPr>
          <w:rFonts w:hint="eastAsia" w:ascii="仿宋_GB2312" w:hAnsi="仿宋_GB2312" w:eastAsia="仿宋_GB2312" w:cs="仿宋_GB2312"/>
          <w:color w:val="000000" w:themeColor="text1"/>
          <w:sz w:val="32"/>
          <w:szCs w:val="32"/>
          <w:highlight w:val="none"/>
          <w14:textFill>
            <w14:solidFill>
              <w14:schemeClr w14:val="tx1"/>
            </w14:solidFill>
          </w14:textFill>
        </w:rPr>
        <w:t>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与高校和科研机构合作</w:t>
      </w:r>
      <w:r>
        <w:rPr>
          <w:rFonts w:hint="eastAsia" w:ascii="仿宋_GB2312" w:hAnsi="仿宋_GB2312" w:eastAsia="仿宋_GB2312" w:cs="仿宋_GB2312"/>
          <w:color w:val="000000" w:themeColor="text1"/>
          <w:sz w:val="32"/>
          <w:szCs w:val="32"/>
          <w:highlight w:val="none"/>
          <w14:textFill>
            <w14:solidFill>
              <w14:schemeClr w14:val="tx1"/>
            </w14:solidFill>
          </w14:textFill>
        </w:rPr>
        <w:t>创新，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支撑和引领我省全方位高质量发展</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 xml:space="preserve">条 </w:t>
      </w:r>
      <w:r>
        <w:rPr>
          <w:rFonts w:hint="eastAsia" w:ascii="仿宋_GB2312" w:hAnsi="仿宋_GB2312" w:eastAsia="仿宋_GB2312" w:cs="仿宋_GB2312"/>
          <w:color w:val="000000" w:themeColor="text1"/>
          <w:sz w:val="32"/>
          <w:szCs w:val="32"/>
          <w:highlight w:val="none"/>
          <w14:textFill>
            <w14:solidFill>
              <w14:schemeClr w14:val="tx1"/>
            </w14:solidFill>
          </w14:textFill>
        </w:rPr>
        <w:t>联合资助方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主要包括：</w:t>
      </w:r>
      <w:r>
        <w:rPr>
          <w:rFonts w:hint="eastAsia" w:ascii="仿宋_GB2312" w:hAnsi="仿宋_GB2312" w:eastAsia="仿宋_GB2312" w:cs="仿宋_GB2312"/>
          <w:color w:val="000000" w:themeColor="text1"/>
          <w:sz w:val="32"/>
          <w:szCs w:val="32"/>
          <w:highlight w:val="none"/>
          <w14:textFill>
            <w14:solidFill>
              <w14:schemeClr w14:val="tx1"/>
            </w14:solidFill>
          </w14:textFill>
        </w:rPr>
        <w:t>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设区市</w:t>
      </w:r>
      <w:r>
        <w:rPr>
          <w:rFonts w:hint="eastAsia" w:ascii="仿宋_GB2312" w:hAnsi="仿宋_GB2312" w:eastAsia="仿宋_GB2312" w:cs="仿宋_GB2312"/>
          <w:color w:val="000000" w:themeColor="text1"/>
          <w:sz w:val="32"/>
          <w:szCs w:val="32"/>
          <w:highlight w:val="none"/>
          <w14:textFill>
            <w14:solidFill>
              <w14:schemeClr w14:val="tx1"/>
            </w14:solidFill>
          </w14:textFill>
        </w:rPr>
        <w:t>政府、</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产业（行业）管理部门</w:t>
      </w:r>
      <w:r>
        <w:rPr>
          <w:rFonts w:hint="eastAsia" w:ascii="仿宋_GB2312" w:hAnsi="仿宋_GB2312" w:eastAsia="仿宋_GB2312" w:cs="仿宋_GB2312"/>
          <w:color w:val="000000" w:themeColor="text1"/>
          <w:sz w:val="32"/>
          <w:szCs w:val="32"/>
          <w:highlight w:val="none"/>
          <w14:textFill>
            <w14:solidFill>
              <w14:schemeClr w14:val="tx1"/>
            </w14:solidFill>
          </w14:textFill>
        </w:rPr>
        <w:t>、企业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及</w:t>
      </w:r>
      <w:r>
        <w:rPr>
          <w:rFonts w:hint="eastAsia" w:ascii="仿宋_GB2312" w:hAnsi="仿宋_GB2312" w:eastAsia="仿宋_GB2312" w:cs="仿宋_GB2312"/>
          <w:color w:val="000000" w:themeColor="text1"/>
          <w:sz w:val="32"/>
          <w:szCs w:val="32"/>
          <w:highlight w:val="none"/>
          <w14:textFill>
            <w14:solidFill>
              <w14:schemeClr w14:val="tx1"/>
            </w14:solidFill>
          </w14:textFill>
        </w:rPr>
        <w:t>其他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省级以上认定的创新平台实体。</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第四条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u w:val="none" w:color="auto"/>
          <w:lang w:eastAsia="zh-CN"/>
          <w14:textFill>
            <w14:solidFill>
              <w14:schemeClr w14:val="tx1"/>
            </w14:solidFill>
          </w14:textFill>
        </w:rPr>
        <w:t>省科技厅</w:t>
      </w:r>
      <w:r>
        <w:rPr>
          <w:rFonts w:hint="eastAsia" w:ascii="仿宋_GB2312" w:hAnsi="仿宋_GB2312" w:eastAsia="仿宋_GB2312" w:cs="仿宋_GB2312"/>
          <w:color w:val="000000" w:themeColor="text1"/>
          <w:sz w:val="32"/>
          <w:szCs w:val="32"/>
          <w:highlight w:val="none"/>
          <w14:textFill>
            <w14:solidFill>
              <w14:schemeClr w14:val="tx1"/>
            </w14:solidFill>
          </w14:textFill>
        </w:rPr>
        <w:t>与联合资助方签订</w:t>
      </w:r>
      <w:r>
        <w:rPr>
          <w:rFonts w:hint="eastAsia" w:ascii="仿宋_GB2312" w:hAnsi="仿宋_GB2312" w:eastAsia="仿宋_GB2312" w:cs="仿宋_GB2312"/>
          <w:b w:val="0"/>
          <w:bCs w:val="0"/>
          <w:color w:val="000000"/>
          <w:sz w:val="32"/>
          <w:szCs w:val="32"/>
          <w:highlight w:val="none"/>
          <w:lang w:val="en-US" w:eastAsia="zh-CN"/>
        </w:rPr>
        <w:t>省联合资助项目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合作协议（以下简称合作协议），在商定的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具体科技</w:t>
      </w:r>
      <w:r>
        <w:rPr>
          <w:rFonts w:hint="eastAsia" w:ascii="仿宋_GB2312" w:hAnsi="仿宋_GB2312" w:eastAsia="仿宋_GB2312" w:cs="仿宋_GB2312"/>
          <w:color w:val="000000" w:themeColor="text1"/>
          <w:sz w:val="32"/>
          <w:szCs w:val="32"/>
          <w:highlight w:val="none"/>
          <w14:textFill>
            <w14:solidFill>
              <w14:schemeClr w14:val="tx1"/>
            </w14:solidFill>
          </w14:textFill>
        </w:rPr>
        <w:t>领域内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，明确</w:t>
      </w:r>
      <w:r>
        <w:rPr>
          <w:rFonts w:hint="eastAsia" w:ascii="仿宋_GB2312" w:hAnsi="仿宋_GB2312" w:eastAsia="仿宋_GB2312" w:cs="仿宋_GB2312"/>
          <w:color w:val="000000" w:themeColor="text1"/>
          <w:sz w:val="32"/>
          <w:szCs w:val="32"/>
          <w:highlight w:val="none"/>
          <w14:textFill>
            <w14:solidFill>
              <w14:schemeClr w14:val="tx1"/>
            </w14:solidFill>
          </w14:textFill>
        </w:rPr>
        <w:t>经费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14:textFill>
            <w14:solidFill>
              <w14:schemeClr w14:val="tx1"/>
            </w14:solidFill>
          </w14:textFill>
        </w:rPr>
        <w:t>投入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与管理</w:t>
      </w:r>
      <w:r>
        <w:rPr>
          <w:rFonts w:hint="eastAsia" w:ascii="仿宋_GB2312" w:hAnsi="仿宋_GB2312" w:eastAsia="仿宋_GB2312" w:cs="仿宋_GB2312"/>
          <w:color w:val="000000" w:themeColor="text1"/>
          <w:sz w:val="32"/>
          <w:szCs w:val="32"/>
          <w:highlight w:val="none"/>
          <w14:textFill>
            <w14:solidFill>
              <w14:schemeClr w14:val="tx1"/>
            </w14:solidFill>
          </w14:textFill>
        </w:rPr>
        <w:t>、运行机制、合作期限等内容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共同支持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基础与应用基础</w:t>
      </w:r>
      <w:r>
        <w:rPr>
          <w:rFonts w:hint="eastAsia" w:ascii="仿宋_GB2312" w:hAnsi="仿宋_GB2312" w:eastAsia="仿宋_GB2312" w:cs="仿宋_GB2312"/>
          <w:color w:val="000000" w:themeColor="text1"/>
          <w:sz w:val="32"/>
          <w:szCs w:val="32"/>
          <w:highlight w:val="none"/>
          <w14:textFill>
            <w14:solidFill>
              <w14:schemeClr w14:val="tx1"/>
            </w14:solidFill>
          </w14:textFill>
        </w:rPr>
        <w:t>研究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按照联合资助方主体法人性质不同，省联合资助项目具体分为区域类、产业（行业）类和企业类等，合作期限一般为三至五年。</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第五条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w:t>
      </w:r>
      <w:r>
        <w:rPr>
          <w:rFonts w:hint="eastAsia" w:ascii="仿宋_GB2312" w:hAnsi="仿宋_GB2312" w:eastAsia="仿宋_GB2312" w:cs="仿宋_GB2312"/>
          <w:b w:val="0"/>
          <w:bCs w:val="0"/>
          <w:color w:val="000000"/>
          <w:sz w:val="32"/>
          <w:szCs w:val="32"/>
          <w:highlight w:val="none"/>
          <w:lang w:val="en-US" w:eastAsia="zh-CN"/>
        </w:rPr>
        <w:t>省联合资助项目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w:t>
      </w:r>
      <w:r>
        <w:rPr>
          <w:rFonts w:hint="eastAsia" w:ascii="仿宋_GB2312" w:hAnsi="仿宋_GB2312" w:eastAsia="仿宋_GB2312" w:cs="仿宋_GB2312"/>
          <w:color w:val="000000" w:themeColor="text1"/>
          <w:sz w:val="32"/>
          <w:szCs w:val="32"/>
          <w:highlight w:val="none"/>
          <w:u w:val="none" w:color="auto"/>
          <w14:textFill>
            <w14:solidFill>
              <w14:schemeClr w14:val="tx1"/>
            </w14:solidFill>
          </w14:textFill>
        </w:rPr>
        <w:t>省</w:t>
      </w:r>
      <w:r>
        <w:rPr>
          <w:rFonts w:hint="eastAsia" w:ascii="仿宋_GB2312" w:hAnsi="仿宋_GB2312" w:eastAsia="仿宋_GB2312" w:cs="仿宋_GB2312"/>
          <w:color w:val="000000" w:themeColor="text1"/>
          <w:sz w:val="32"/>
          <w:szCs w:val="32"/>
          <w:highlight w:val="none"/>
          <w:u w:val="none" w:color="auto"/>
          <w:lang w:eastAsia="zh-CN"/>
          <w14:textFill>
            <w14:solidFill>
              <w14:schemeClr w14:val="tx1"/>
            </w14:solidFill>
          </w14:textFill>
        </w:rPr>
        <w:t>基础研究计划</w:t>
      </w:r>
      <w:r>
        <w:rPr>
          <w:rFonts w:hint="eastAsia" w:ascii="仿宋_GB2312" w:hAnsi="仿宋_GB2312" w:eastAsia="仿宋_GB2312" w:cs="仿宋_GB2312"/>
          <w:color w:val="000000" w:themeColor="text1"/>
          <w:sz w:val="32"/>
          <w:szCs w:val="32"/>
          <w:highlight w:val="none"/>
          <w:u w:val="none" w:color="auto"/>
          <w14:textFill>
            <w14:solidFill>
              <w14:schemeClr w14:val="tx1"/>
            </w14:solidFill>
          </w14:textFill>
        </w:rPr>
        <w:t>运行和管理方式</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组织实施，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统一发布项目需求、统一评审程序、统一项目管理，</w:t>
      </w:r>
      <w:r>
        <w:rPr>
          <w:rFonts w:hint="eastAsia" w:ascii="仿宋_GB2312" w:hAnsi="仿宋_GB2312" w:eastAsia="仿宋_GB2312" w:cs="仿宋_GB2312"/>
          <w:color w:val="000000" w:themeColor="text1"/>
          <w:sz w:val="32"/>
          <w:szCs w:val="32"/>
          <w:highlight w:val="none"/>
          <w14:textFill>
            <w14:solidFill>
              <w14:schemeClr w14:val="tx1"/>
            </w14:solidFill>
          </w14:textFill>
        </w:rPr>
        <w:t>面向全省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公平竞争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，择优支持</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olor w:val="000000" w:themeColor="text1"/>
          <w:sz w:val="32"/>
          <w:szCs w:val="32"/>
          <w:highlight w:val="none"/>
          <w:lang w:eastAsia="zh-CN"/>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 xml:space="preserve">第二章 </w:t>
      </w:r>
      <w:r>
        <w:rPr>
          <w:rFonts w:hint="eastAsia" w:ascii="黑体" w:hAnsi="黑体" w:eastAsia="黑体"/>
          <w:color w:val="000000" w:themeColor="text1"/>
          <w:sz w:val="32"/>
          <w:szCs w:val="32"/>
          <w:highlight w:val="none"/>
          <w:lang w:eastAsia="zh-CN"/>
          <w14:textFill>
            <w14:solidFill>
              <w14:schemeClr w14:val="tx1"/>
            </w14:solidFill>
          </w14:textFill>
        </w:rPr>
        <w:t>管理机构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000000" w:themeColor="text1"/>
          <w:sz w:val="32"/>
          <w:szCs w:val="32"/>
          <w:highlight w:val="none"/>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第六条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省科技厅与各</w:t>
      </w:r>
      <w:r>
        <w:rPr>
          <w:rFonts w:hint="eastAsia" w:ascii="仿宋_GB2312" w:hAnsi="仿宋_GB2312" w:eastAsia="仿宋_GB2312" w:cs="仿宋_GB2312"/>
          <w:color w:val="000000" w:themeColor="text1"/>
          <w:sz w:val="32"/>
          <w:szCs w:val="32"/>
          <w:highlight w:val="none"/>
          <w14:textFill>
            <w14:solidFill>
              <w14:schemeClr w14:val="tx1"/>
            </w14:solidFill>
          </w14:textFill>
        </w:rPr>
        <w:t>联合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资助</w:t>
      </w:r>
      <w:r>
        <w:rPr>
          <w:rFonts w:hint="eastAsia" w:ascii="仿宋_GB2312" w:hAnsi="仿宋_GB2312" w:eastAsia="仿宋_GB2312" w:cs="仿宋_GB2312"/>
          <w:color w:val="000000" w:themeColor="text1"/>
          <w:sz w:val="32"/>
          <w:szCs w:val="32"/>
          <w:highlight w:val="none"/>
          <w14:textFill>
            <w14:solidFill>
              <w14:schemeClr w14:val="tx1"/>
            </w14:solidFill>
          </w14:textFill>
        </w:rPr>
        <w:t>方成立</w:t>
      </w:r>
      <w:r>
        <w:rPr>
          <w:rFonts w:hint="eastAsia" w:ascii="仿宋_GB2312" w:hAnsi="仿宋_GB2312" w:eastAsia="仿宋_GB2312" w:cs="仿宋_GB2312"/>
          <w:b w:val="0"/>
          <w:bCs w:val="0"/>
          <w:color w:val="000000"/>
          <w:sz w:val="32"/>
          <w:szCs w:val="32"/>
          <w:highlight w:val="none"/>
          <w:lang w:val="en-US" w:eastAsia="zh-CN"/>
        </w:rPr>
        <w:t>省联合资助项目</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管</w:t>
      </w:r>
      <w:r>
        <w:rPr>
          <w:rFonts w:hint="eastAsia" w:ascii="仿宋_GB2312" w:hAnsi="仿宋_GB2312" w:eastAsia="仿宋_GB2312" w:cs="仿宋_GB2312"/>
          <w:color w:val="000000" w:themeColor="text1"/>
          <w:sz w:val="32"/>
          <w:szCs w:val="32"/>
          <w:highlight w:val="none"/>
          <w14:textFill>
            <w14:solidFill>
              <w14:schemeClr w14:val="tx1"/>
            </w14:solidFill>
          </w14:textFill>
        </w:rPr>
        <w:t>理委员会(以下简称管委会)，负责审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定</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需求、资助计划及研究决定省联合资助项目运行</w:t>
      </w:r>
      <w:r>
        <w:rPr>
          <w:rFonts w:hint="eastAsia" w:ascii="仿宋_GB2312" w:hAnsi="仿宋_GB2312" w:eastAsia="仿宋_GB2312" w:cs="仿宋_GB2312"/>
          <w:color w:val="000000" w:themeColor="text1"/>
          <w:sz w:val="32"/>
          <w:szCs w:val="32"/>
          <w:highlight w:val="none"/>
          <w14:textFill>
            <w14:solidFill>
              <w14:schemeClr w14:val="tx1"/>
            </w14:solidFill>
          </w14:textFill>
        </w:rPr>
        <w:t>中的重大事项。管委会成员由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省科技厅与</w:t>
      </w:r>
      <w:r>
        <w:rPr>
          <w:rFonts w:hint="eastAsia" w:ascii="仿宋_GB2312" w:hAnsi="仿宋_GB2312" w:eastAsia="仿宋_GB2312" w:cs="仿宋_GB2312"/>
          <w:color w:val="000000" w:themeColor="text1"/>
          <w:sz w:val="32"/>
          <w:szCs w:val="32"/>
          <w:highlight w:val="none"/>
          <w14:textFill>
            <w14:solidFill>
              <w14:schemeClr w14:val="tx1"/>
            </w14:solidFill>
          </w14:textFill>
        </w:rPr>
        <w:t>联合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资助</w:t>
      </w:r>
      <w:r>
        <w:rPr>
          <w:rFonts w:hint="eastAsia" w:ascii="仿宋_GB2312" w:hAnsi="仿宋_GB2312" w:eastAsia="仿宋_GB2312" w:cs="仿宋_GB2312"/>
          <w:color w:val="000000" w:themeColor="text1"/>
          <w:sz w:val="32"/>
          <w:szCs w:val="32"/>
          <w:highlight w:val="none"/>
          <w14:textFill>
            <w14:solidFill>
              <w14:schemeClr w14:val="tx1"/>
            </w14:solidFill>
          </w14:textFill>
        </w:rPr>
        <w:t>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双方</w:t>
      </w:r>
      <w:r>
        <w:rPr>
          <w:rFonts w:hint="eastAsia" w:ascii="仿宋_GB2312" w:hAnsi="仿宋_GB2312" w:eastAsia="仿宋_GB2312" w:cs="仿宋_GB2312"/>
          <w:color w:val="000000" w:themeColor="text1"/>
          <w:sz w:val="32"/>
          <w:szCs w:val="32"/>
          <w:highlight w:val="none"/>
          <w14:textFill>
            <w14:solidFill>
              <w14:schemeClr w14:val="tx1"/>
            </w14:solidFill>
          </w14:textFill>
        </w:rPr>
        <w:t>推荐</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14:textFill>
            <w14:solidFill>
              <w14:schemeClr w14:val="tx1"/>
            </w14:solidFill>
          </w14:textFill>
        </w:rPr>
        <w:t>相关负责人组成。</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第七条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管委会下设</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省联合资助项目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管理办公室(以下简称管理办)，成员由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省科技厅相关处室与</w:t>
      </w:r>
      <w:r>
        <w:rPr>
          <w:rFonts w:hint="eastAsia" w:ascii="仿宋_GB2312" w:hAnsi="仿宋_GB2312" w:eastAsia="仿宋_GB2312" w:cs="仿宋_GB2312"/>
          <w:color w:val="000000" w:themeColor="text1"/>
          <w:sz w:val="32"/>
          <w:szCs w:val="32"/>
          <w:highlight w:val="none"/>
          <w14:textFill>
            <w14:solidFill>
              <w14:schemeClr w14:val="tx1"/>
            </w14:solidFill>
          </w14:textFill>
        </w:rPr>
        <w:t>联合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资助</w:t>
      </w:r>
      <w:r>
        <w:rPr>
          <w:rFonts w:hint="eastAsia" w:ascii="仿宋_GB2312" w:hAnsi="仿宋_GB2312" w:eastAsia="仿宋_GB2312" w:cs="仿宋_GB2312"/>
          <w:color w:val="000000" w:themeColor="text1"/>
          <w:sz w:val="32"/>
          <w:szCs w:val="32"/>
          <w:highlight w:val="none"/>
          <w14:textFill>
            <w14:solidFill>
              <w14:schemeClr w14:val="tx1"/>
            </w14:solidFill>
          </w14:textFill>
        </w:rPr>
        <w:t>方有关人员组成</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筹划</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组织管委会会议、联席工作会议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协调项目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需求</w:t>
      </w:r>
      <w:r>
        <w:rPr>
          <w:rFonts w:hint="eastAsia" w:ascii="仿宋_GB2312" w:hAnsi="仿宋_GB2312" w:eastAsia="仿宋_GB2312" w:cs="仿宋_GB2312"/>
          <w:color w:val="000000" w:themeColor="text1"/>
          <w:sz w:val="32"/>
          <w:szCs w:val="32"/>
          <w:highlight w:val="none"/>
          <w14:textFill>
            <w14:solidFill>
              <w14:schemeClr w14:val="tx1"/>
            </w14:solidFill>
          </w14:textFill>
        </w:rPr>
        <w:t>论证、项目审批及项目实施管理等相关工作。管理办</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设在省科技厅基础研究处。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000000" w:themeColor="text1"/>
          <w:sz w:val="32"/>
          <w:szCs w:val="32"/>
          <w:highlight w:val="none"/>
          <w14:textFill>
            <w14:solidFill>
              <w14:schemeClr w14:val="tx1"/>
            </w14:solidFill>
          </w14:textFill>
        </w:rPr>
      </w:pP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eastAsia="zh-CN"/>
          <w14:textFill>
            <w14:solidFill>
              <w14:schemeClr w14:val="tx1"/>
            </w14:solidFill>
          </w14:textFill>
        </w:rPr>
        <w:t>出</w:t>
      </w:r>
      <w:r>
        <w:rPr>
          <w:rFonts w:hint="eastAsia" w:ascii="黑体" w:hAnsi="黑体" w:eastAsia="黑体"/>
          <w:color w:val="000000" w:themeColor="text1"/>
          <w:sz w:val="32"/>
          <w:szCs w:val="32"/>
          <w:highlight w:val="none"/>
          <w14:textFill>
            <w14:solidFill>
              <w14:schemeClr w14:val="tx1"/>
            </w14:solidFill>
          </w14:textFill>
        </w:rPr>
        <w:t>资管理</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Chars="0" w:right="0" w:rightChars="0"/>
        <w:jc w:val="both"/>
        <w:textAlignment w:val="auto"/>
        <w:outlineLvl w:val="9"/>
        <w:rPr>
          <w:rFonts w:hint="eastAsia"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sz w:val="32"/>
          <w:szCs w:val="32"/>
          <w:highlight w:val="none"/>
          <w:lang w:val="en-US" w:eastAsia="zh-CN"/>
        </w:rPr>
        <w:t xml:space="preserve">第八条 </w:t>
      </w:r>
      <w:r>
        <w:rPr>
          <w:rFonts w:hint="eastAsia" w:ascii="仿宋_GB2312" w:hAnsi="仿宋_GB2312" w:eastAsia="仿宋_GB2312" w:cs="仿宋_GB2312"/>
          <w:b w:val="0"/>
          <w:bCs w:val="0"/>
          <w:color w:val="000000"/>
          <w:sz w:val="32"/>
          <w:szCs w:val="32"/>
          <w:highlight w:val="none"/>
          <w:lang w:val="en-US" w:eastAsia="zh-CN"/>
        </w:rPr>
        <w:t>省联合资助项目资助经费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由</w:t>
      </w:r>
      <w:r>
        <w:rPr>
          <w:rFonts w:hint="eastAsia" w:ascii="仿宋_GB2312" w:hAnsi="仿宋_GB2312" w:eastAsia="仿宋_GB2312" w:cs="仿宋_GB2312"/>
          <w:color w:val="000000" w:themeColor="text1"/>
          <w:sz w:val="32"/>
          <w:szCs w:val="32"/>
          <w:highlight w:val="none"/>
          <w:u w:val="none" w:color="auto"/>
          <w:lang w:eastAsia="zh-CN"/>
          <w14:textFill>
            <w14:solidFill>
              <w14:schemeClr w14:val="tx1"/>
            </w14:solidFill>
          </w14:textFill>
        </w:rPr>
        <w:t>省科技厅</w:t>
      </w:r>
      <w:r>
        <w:rPr>
          <w:rFonts w:hint="eastAsia" w:ascii="仿宋_GB2312" w:hAnsi="仿宋_GB2312" w:eastAsia="仿宋_GB2312" w:cs="仿宋_GB2312"/>
          <w:color w:val="000000" w:themeColor="text1"/>
          <w:sz w:val="32"/>
          <w:szCs w:val="32"/>
          <w:highlight w:val="none"/>
          <w14:textFill>
            <w14:solidFill>
              <w14:schemeClr w14:val="tx1"/>
            </w14:solidFill>
          </w14:textFill>
        </w:rPr>
        <w:t>与联合资助方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原则上</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产业（行业）类、区域类和企业类分别对应</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1∶2、</w:t>
      </w:r>
      <w:r>
        <w:rPr>
          <w:rFonts w:hint="eastAsia" w:ascii="仿宋_GB2312" w:hAnsi="仿宋_GB2312" w:eastAsia="仿宋_GB2312" w:cs="仿宋_GB2312"/>
          <w:color w:val="000000" w:themeColor="text1"/>
          <w:sz w:val="32"/>
          <w:szCs w:val="32"/>
          <w:highlight w:val="none"/>
          <w14:textFill>
            <w14:solidFill>
              <w14:schemeClr w14:val="tx1"/>
            </w14:solidFill>
          </w14:textFill>
        </w:rPr>
        <w:t>1∶3</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highlight w:val="none"/>
          <w14:textFill>
            <w14:solidFill>
              <w14:schemeClr w14:val="tx1"/>
            </w14:solidFill>
          </w14:textFill>
        </w:rPr>
        <w:t>的比例</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共同出资，</w:t>
      </w:r>
      <w:r>
        <w:rPr>
          <w:rFonts w:hint="eastAsia" w:ascii="仿宋_GB2312" w:hAnsi="仿宋_GB2312" w:eastAsia="仿宋_GB2312" w:cs="仿宋_GB2312"/>
          <w:color w:val="000000" w:themeColor="text1"/>
          <w:sz w:val="32"/>
          <w:szCs w:val="32"/>
          <w:highlight w:val="none"/>
          <w14:textFill>
            <w14:solidFill>
              <w14:schemeClr w14:val="tx1"/>
            </w14:solidFill>
          </w14:textFill>
        </w:rPr>
        <w:t>联合资助方出资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总</w:t>
      </w:r>
      <w:r>
        <w:rPr>
          <w:rFonts w:hint="eastAsia" w:ascii="仿宋_GB2312" w:hAnsi="仿宋_GB2312" w:eastAsia="仿宋_GB2312" w:cs="仿宋_GB2312"/>
          <w:color w:val="000000" w:themeColor="text1"/>
          <w:sz w:val="32"/>
          <w:szCs w:val="32"/>
          <w:highlight w:val="none"/>
          <w14:textFill>
            <w14:solidFill>
              <w14:schemeClr w14:val="tx1"/>
            </w14:solidFill>
          </w14:textFill>
        </w:rPr>
        <w:t>额一般不低于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500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省联合资助项目标注</w:t>
      </w:r>
      <w:r>
        <w:rPr>
          <w:rFonts w:hint="eastAsia" w:ascii="仿宋_GB2312" w:hAnsi="仿宋_GB2312" w:eastAsia="仿宋_GB2312" w:cs="仿宋_GB2312"/>
          <w:color w:val="000000" w:themeColor="text1"/>
          <w:sz w:val="32"/>
          <w:szCs w:val="32"/>
          <w:highlight w:val="none"/>
          <w14:textFill>
            <w14:solidFill>
              <w14:schemeClr w14:val="tx1"/>
            </w14:solidFill>
          </w14:textFill>
        </w:rPr>
        <w:t>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山西</w:t>
      </w:r>
      <w:r>
        <w:rPr>
          <w:rFonts w:hint="eastAsia" w:ascii="仿宋_GB2312" w:hAnsi="仿宋_GB2312" w:eastAsia="仿宋_GB2312" w:cs="仿宋_GB2312"/>
          <w:color w:val="000000" w:themeColor="text1"/>
          <w:sz w:val="32"/>
          <w:szCs w:val="32"/>
          <w:highlight w:val="none"/>
          <w14:textFill>
            <w14:solidFill>
              <w14:schemeClr w14:val="tx1"/>
            </w14:solidFill>
          </w14:textFill>
        </w:rPr>
        <w:t>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基础研究计划</w:t>
      </w:r>
      <w:r>
        <w:rPr>
          <w:rFonts w:hint="eastAsia" w:ascii="仿宋_GB2312" w:hAnsi="仿宋_GB2312" w:eastAsia="仿宋_GB2312" w:cs="仿宋_GB2312"/>
          <w:color w:val="000000" w:themeColor="text1"/>
          <w:sz w:val="32"/>
          <w:szCs w:val="32"/>
          <w:highlight w:val="none"/>
          <w14:textFill>
            <w14:solidFill>
              <w14:schemeClr w14:val="tx1"/>
            </w14:solidFill>
          </w14:textFill>
        </w:rPr>
        <w:t>联合</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资助项目（××）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”，其中“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”为联合资助方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标准简</w:t>
      </w:r>
      <w:r>
        <w:rPr>
          <w:rFonts w:hint="eastAsia" w:ascii="仿宋_GB2312" w:hAnsi="仿宋_GB2312" w:eastAsia="仿宋_GB2312" w:cs="仿宋_GB2312"/>
          <w:color w:val="000000" w:themeColor="text1"/>
          <w:sz w:val="32"/>
          <w:szCs w:val="32"/>
          <w:highlight w:val="none"/>
          <w14:textFill>
            <w14:solidFill>
              <w14:schemeClr w14:val="tx1"/>
            </w14:solidFill>
          </w14:textFill>
        </w:rPr>
        <w:t>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第九条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联合资助经费由出资各方在本级财务账户内单独设科目管理</w:t>
      </w:r>
      <w:r>
        <w:rPr>
          <w:rFonts w:hint="eastAsia" w:ascii="仿宋_GB2312" w:hAnsi="仿宋_GB2312" w:eastAsia="仿宋_GB2312" w:cs="仿宋_GB2312"/>
          <w:color w:val="000000" w:themeColor="text1"/>
          <w:sz w:val="32"/>
          <w:szCs w:val="32"/>
          <w:highlight w:val="none"/>
          <w14:textFill>
            <w14:solidFill>
              <w14:schemeClr w14:val="tx1"/>
            </w14:solidFill>
          </w14:textFill>
        </w:rPr>
        <w:t>，以保证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项目资金</w:t>
      </w:r>
      <w:r>
        <w:rPr>
          <w:rFonts w:hint="eastAsia" w:ascii="仿宋_GB2312" w:hAnsi="仿宋_GB2312" w:eastAsia="仿宋_GB2312" w:cs="仿宋_GB2312"/>
          <w:color w:val="000000" w:themeColor="text1"/>
          <w:sz w:val="32"/>
          <w:szCs w:val="32"/>
          <w:highlight w:val="none"/>
          <w14:textFill>
            <w14:solidFill>
              <w14:schemeClr w14:val="tx1"/>
            </w14:solidFill>
          </w14:textFill>
        </w:rPr>
        <w:t>正常运转。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各</w:t>
      </w:r>
      <w:r>
        <w:rPr>
          <w:rFonts w:hint="eastAsia" w:ascii="仿宋_GB2312" w:hAnsi="仿宋_GB2312" w:eastAsia="仿宋_GB2312" w:cs="仿宋_GB2312"/>
          <w:color w:val="000000" w:themeColor="text1"/>
          <w:sz w:val="32"/>
          <w:szCs w:val="32"/>
          <w:highlight w:val="none"/>
          <w14:textFill>
            <w14:solidFill>
              <w14:schemeClr w14:val="tx1"/>
            </w14:solidFill>
          </w14:textFill>
        </w:rPr>
        <w:t>方应于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合作协议签署生效后，按约定保障经</w:t>
      </w:r>
      <w:r>
        <w:rPr>
          <w:rFonts w:hint="eastAsia" w:ascii="仿宋_GB2312" w:hAnsi="仿宋_GB2312" w:eastAsia="仿宋_GB2312" w:cs="仿宋_GB2312"/>
          <w:color w:val="000000" w:themeColor="text1"/>
          <w:sz w:val="32"/>
          <w:szCs w:val="32"/>
          <w:highlight w:val="none"/>
          <w14:textFill>
            <w14:solidFill>
              <w14:schemeClr w14:val="tx1"/>
            </w14:solidFill>
          </w14:textFill>
        </w:rPr>
        <w:t>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列支，确保随时能按约定及时拨付。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highlight w:val="yellow"/>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联合资助经费由出资各方在本级财政（财务）部门单独管理，省级财政资助经费在年度预算中单独列支。各方应于合作协议签署生效后，按约定保障经费。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第十条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省科技厅</w:t>
      </w:r>
      <w:r>
        <w:rPr>
          <w:rFonts w:hint="eastAsia" w:ascii="仿宋_GB2312" w:hAnsi="仿宋_GB2312" w:eastAsia="仿宋_GB2312" w:cs="仿宋_GB2312"/>
          <w:color w:val="000000" w:themeColor="text1"/>
          <w:sz w:val="32"/>
          <w:szCs w:val="32"/>
          <w:highlight w:val="none"/>
          <w14:textFill>
            <w14:solidFill>
              <w14:schemeClr w14:val="tx1"/>
            </w14:solidFill>
          </w14:textFill>
        </w:rPr>
        <w:t>统一编制</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省联合资助项目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年度资助计划，当年未完成的资助计划转入下一年度资助计划，继续滚动使用。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第十一条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项目资助经费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参照《山西省人民政府办公厅关于改革完善省级财政科研经费管理的实施意见》（晋政办发〔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16号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）执行</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管理办</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根据项目批准和进展情况，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通知协议各方</w:t>
      </w:r>
      <w:r>
        <w:rPr>
          <w:rFonts w:hint="eastAsia" w:ascii="仿宋_GB2312" w:hAnsi="仿宋_GB2312" w:eastAsia="仿宋_GB2312" w:cs="仿宋_GB2312"/>
          <w:color w:val="000000" w:themeColor="text1"/>
          <w:sz w:val="32"/>
          <w:szCs w:val="32"/>
          <w:highlight w:val="none"/>
          <w14:textFill>
            <w14:solidFill>
              <w14:schemeClr w14:val="tx1"/>
            </w14:solidFill>
          </w14:textFill>
        </w:rPr>
        <w:t>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所管理的</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项目资助经费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分别</w:t>
      </w:r>
      <w:r>
        <w:rPr>
          <w:rFonts w:hint="eastAsia" w:ascii="仿宋_GB2312" w:hAnsi="仿宋_GB2312" w:eastAsia="仿宋_GB2312" w:cs="仿宋_GB2312"/>
          <w:color w:val="000000" w:themeColor="text1"/>
          <w:sz w:val="32"/>
          <w:szCs w:val="32"/>
          <w:highlight w:val="none"/>
          <w14:textFill>
            <w14:solidFill>
              <w14:schemeClr w14:val="tx1"/>
            </w14:solidFill>
          </w14:textFill>
        </w:rPr>
        <w:t>拨付至项目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承担</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第十二条 </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负责</w:t>
      </w:r>
      <w:r>
        <w:rPr>
          <w:rFonts w:hint="eastAsia" w:ascii="仿宋_GB2312" w:hAnsi="仿宋_GB2312" w:eastAsia="仿宋_GB2312" w:cs="仿宋_GB2312"/>
          <w:color w:val="000000" w:themeColor="text1"/>
          <w:sz w:val="32"/>
          <w:szCs w:val="32"/>
          <w:highlight w:val="none"/>
          <w14:textFill>
            <w14:solidFill>
              <w14:schemeClr w14:val="tx1"/>
            </w14:solidFill>
          </w14:textFill>
        </w:rPr>
        <w:t>人如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highlight w:val="none"/>
          <w14:textFill>
            <w14:solidFill>
              <w14:schemeClr w14:val="tx1"/>
            </w14:solidFill>
          </w14:textFill>
        </w:rPr>
        <w:t>省内调动工作，需把资助项目带到新单位继续开展研究的，应写出书面报告，获得调出、调入单位同意并签署意见，经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管理办</w:t>
      </w:r>
      <w:r>
        <w:rPr>
          <w:rFonts w:hint="eastAsia" w:ascii="仿宋_GB2312" w:hAnsi="仿宋_GB2312" w:eastAsia="仿宋_GB2312" w:cs="仿宋_GB2312"/>
          <w:color w:val="000000" w:themeColor="text1"/>
          <w:sz w:val="32"/>
          <w:szCs w:val="32"/>
          <w:highlight w:val="none"/>
          <w14:textFill>
            <w14:solidFill>
              <w14:schemeClr w14:val="tx1"/>
            </w14:solidFill>
          </w14:textFill>
        </w:rPr>
        <w:t>审查批准后，可将结余经费划拨至新单位继续使用。</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项目负责人如调往省外工作，受资助项目按程序变更负责人。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第十三条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省联合资助项目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管理费用</w:t>
      </w:r>
      <w:r>
        <w:rPr>
          <w:rFonts w:hint="eastAsia" w:ascii="仿宋_GB2312" w:hAnsi="仿宋_GB2312" w:eastAsia="仿宋_GB2312" w:cs="仿宋_GB2312"/>
          <w:color w:val="000000" w:themeColor="text1"/>
          <w:sz w:val="32"/>
          <w:szCs w:val="32"/>
          <w:highlight w:val="none"/>
          <w14:textFill>
            <w14:solidFill>
              <w14:schemeClr w14:val="tx1"/>
            </w14:solidFill>
          </w14:textFill>
        </w:rPr>
        <w:t>，包括</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：项目需求论证、形式审查、</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项目通讯评审、会议评审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、现场考察及</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项目交流、检查、结题、调研</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绩效评估等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有关</w:t>
      </w:r>
      <w:r>
        <w:rPr>
          <w:rFonts w:hint="eastAsia" w:ascii="仿宋_GB2312" w:hAnsi="仿宋_GB2312" w:eastAsia="仿宋_GB2312" w:cs="仿宋_GB2312"/>
          <w:color w:val="000000" w:themeColor="text1"/>
          <w:sz w:val="32"/>
          <w:szCs w:val="32"/>
          <w:highlight w:val="none"/>
          <w14:textFill>
            <w14:solidFill>
              <w14:schemeClr w14:val="tx1"/>
            </w14:solidFill>
          </w14:textFill>
        </w:rPr>
        <w:t>费用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根据每年</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经费投入</w:t>
      </w:r>
      <w:r>
        <w:rPr>
          <w:rFonts w:hint="eastAsia" w:ascii="仿宋_GB2312" w:hAnsi="仿宋_GB2312" w:eastAsia="仿宋_GB2312" w:cs="仿宋_GB2312"/>
          <w:color w:val="000000" w:themeColor="text1"/>
          <w:sz w:val="32"/>
          <w:szCs w:val="32"/>
          <w:highlight w:val="none"/>
          <w14:textFill>
            <w14:solidFill>
              <w14:schemeClr w14:val="tx1"/>
            </w14:solidFill>
          </w14:textFill>
        </w:rPr>
        <w:t>情况按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不超过8%</w:t>
      </w:r>
      <w:r>
        <w:rPr>
          <w:rFonts w:hint="eastAsia" w:ascii="仿宋_GB2312" w:hAnsi="仿宋_GB2312" w:eastAsia="仿宋_GB2312" w:cs="仿宋_GB2312"/>
          <w:color w:val="000000" w:themeColor="text1"/>
          <w:sz w:val="32"/>
          <w:szCs w:val="32"/>
          <w:highlight w:val="none"/>
          <w14:textFill>
            <w14:solidFill>
              <w14:schemeClr w14:val="tx1"/>
            </w14:solidFill>
          </w14:textFill>
        </w:rPr>
        <w:t>的比例从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联合资助方</w:t>
      </w:r>
      <w:r>
        <w:rPr>
          <w:rFonts w:hint="eastAsia" w:ascii="仿宋_GB2312" w:hAnsi="仿宋_GB2312" w:eastAsia="仿宋_GB2312" w:cs="仿宋_GB2312"/>
          <w:color w:val="000000" w:themeColor="text1"/>
          <w:sz w:val="32"/>
          <w:szCs w:val="32"/>
          <w:highlight w:val="none"/>
          <w14:textFill>
            <w14:solidFill>
              <w14:schemeClr w14:val="tx1"/>
            </w14:solidFill>
          </w14:textFill>
        </w:rPr>
        <w:t>投入的年度总经费中</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列支</w:t>
      </w:r>
      <w:r>
        <w:rPr>
          <w:rFonts w:hint="eastAsia" w:ascii="仿宋_GB2312" w:hAnsi="仿宋_GB2312" w:eastAsia="仿宋_GB2312" w:cs="仿宋_GB2312"/>
          <w:color w:val="000000" w:themeColor="text1"/>
          <w:sz w:val="32"/>
          <w:szCs w:val="32"/>
          <w:highlight w:val="none"/>
          <w14:textFill>
            <w14:solidFill>
              <w14:schemeClr w14:val="tx1"/>
            </w14:solidFill>
          </w14:textFill>
        </w:rPr>
        <w:t>，纳入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联合资助方</w:t>
      </w:r>
      <w:r>
        <w:rPr>
          <w:rFonts w:hint="eastAsia" w:ascii="仿宋_GB2312" w:hAnsi="仿宋_GB2312" w:eastAsia="仿宋_GB2312" w:cs="仿宋_GB2312"/>
          <w:color w:val="000000" w:themeColor="text1"/>
          <w:sz w:val="32"/>
          <w:szCs w:val="32"/>
          <w:highlight w:val="none"/>
          <w14:textFill>
            <w14:solidFill>
              <w14:schemeClr w14:val="tx1"/>
            </w14:solidFill>
          </w14:textFill>
        </w:rPr>
        <w:t>财务预算专项管理，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按照管理办要求</w:t>
      </w:r>
      <w:r>
        <w:rPr>
          <w:rFonts w:hint="eastAsia" w:ascii="仿宋_GB2312" w:hAnsi="仿宋_GB2312" w:eastAsia="仿宋_GB2312" w:cs="仿宋_GB2312"/>
          <w:color w:val="000000" w:themeColor="text1"/>
          <w:sz w:val="32"/>
          <w:szCs w:val="32"/>
          <w:highlight w:val="none"/>
          <w14:textFill>
            <w14:solidFill>
              <w14:schemeClr w14:val="tx1"/>
            </w14:solidFill>
          </w14:textFill>
        </w:rPr>
        <w:t>统筹使用。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第十四条 </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通过验收的</w:t>
      </w:r>
      <w:r>
        <w:rPr>
          <w:rFonts w:hint="eastAsia" w:ascii="仿宋_GB2312" w:hAnsi="仿宋_GB2312" w:eastAsia="仿宋_GB2312" w:cs="仿宋_GB2312"/>
          <w:color w:val="000000" w:themeColor="text1"/>
          <w:sz w:val="32"/>
          <w:szCs w:val="32"/>
          <w:highlight w:val="none"/>
          <w14:textFill>
            <w14:solidFill>
              <w14:schemeClr w14:val="tx1"/>
            </w14:solidFill>
          </w14:textFill>
        </w:rPr>
        <w:t>，结余资金留归项目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承担</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单位使用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，承担</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单位应将结余资金统筹用于科研活动直接支出。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项目验收结果为“结题”的，结余资金按出资比例确定财政资金份额并收回。</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eastAsia" w:ascii="仿宋" w:hAnsi="仿宋" w:eastAsia="仿宋" w:cs="仿宋"/>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黑体"/>
          <w:color w:val="000000" w:themeColor="text1"/>
          <w:sz w:val="32"/>
          <w:szCs w:val="32"/>
          <w:highlight w:val="none"/>
          <w:lang w:val="en-US"/>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第四章 实施管理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十五条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省联合资助项目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省基础研究计划项目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管理办法》进行管理，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参照产业发展类</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项目的</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支持强度</w:t>
      </w:r>
      <w:r>
        <w:rPr>
          <w:rFonts w:hint="eastAsia" w:ascii="仿宋_GB2312" w:hAnsi="仿宋_GB2312" w:eastAsia="仿宋_GB2312" w:cs="仿宋_GB2312"/>
          <w:color w:val="000000" w:themeColor="text1"/>
          <w:sz w:val="32"/>
          <w:szCs w:val="32"/>
          <w:highlight w:val="none"/>
          <w14:textFill>
            <w14:solidFill>
              <w14:schemeClr w14:val="tx1"/>
            </w14:solidFill>
          </w14:textFill>
        </w:rPr>
        <w:t>予以资助。有关限项规定在</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年度</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需求发布</w:t>
      </w:r>
      <w:r>
        <w:rPr>
          <w:rFonts w:hint="eastAsia" w:ascii="仿宋_GB2312" w:hAnsi="仿宋_GB2312" w:eastAsia="仿宋_GB2312" w:cs="仿宋_GB2312"/>
          <w:color w:val="000000" w:themeColor="text1"/>
          <w:sz w:val="32"/>
          <w:szCs w:val="32"/>
          <w:highlight w:val="none"/>
          <w14:textFill>
            <w14:solidFill>
              <w14:schemeClr w14:val="tx1"/>
            </w14:solidFill>
          </w14:textFill>
        </w:rPr>
        <w:t>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申</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报</w:t>
      </w:r>
      <w:r>
        <w:rPr>
          <w:rFonts w:hint="eastAsia" w:ascii="仿宋_GB2312" w:hAnsi="仿宋_GB2312" w:eastAsia="仿宋_GB2312" w:cs="仿宋_GB2312"/>
          <w:color w:val="000000" w:themeColor="text1"/>
          <w:sz w:val="32"/>
          <w:szCs w:val="32"/>
          <w:highlight w:val="none"/>
          <w14:textFill>
            <w14:solidFill>
              <w14:schemeClr w14:val="tx1"/>
            </w14:solidFill>
          </w14:textFill>
        </w:rPr>
        <w:t>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知</w:t>
      </w:r>
      <w:r>
        <w:rPr>
          <w:rFonts w:hint="eastAsia" w:ascii="仿宋_GB2312" w:hAnsi="仿宋_GB2312" w:eastAsia="仿宋_GB2312" w:cs="仿宋_GB2312"/>
          <w:color w:val="000000" w:themeColor="text1"/>
          <w:sz w:val="32"/>
          <w:szCs w:val="32"/>
          <w:highlight w:val="none"/>
          <w14:textFill>
            <w14:solidFill>
              <w14:schemeClr w14:val="tx1"/>
            </w14:solidFill>
          </w14:textFill>
        </w:rPr>
        <w:t>中说明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十六条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联合资助方负责</w:t>
      </w:r>
      <w:r>
        <w:rPr>
          <w:rFonts w:hint="eastAsia" w:ascii="仿宋_GB2312" w:hAnsi="仿宋_GB2312" w:eastAsia="仿宋_GB2312" w:cs="仿宋_GB2312"/>
          <w:color w:val="000000" w:themeColor="text1"/>
          <w:sz w:val="32"/>
          <w:szCs w:val="32"/>
          <w:highlight w:val="none"/>
          <w14:textFill>
            <w14:solidFill>
              <w14:schemeClr w14:val="tx1"/>
            </w14:solidFill>
          </w14:textFill>
        </w:rPr>
        <w:t>提出年度项目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需求初步</w:t>
      </w:r>
      <w:r>
        <w:rPr>
          <w:rFonts w:hint="eastAsia" w:ascii="仿宋_GB2312" w:hAnsi="仿宋_GB2312" w:eastAsia="仿宋_GB2312" w:cs="仿宋_GB2312"/>
          <w:color w:val="000000" w:themeColor="text1"/>
          <w:sz w:val="32"/>
          <w:szCs w:val="32"/>
          <w:highlight w:val="none"/>
          <w14:textFill>
            <w14:solidFill>
              <w14:schemeClr w14:val="tx1"/>
            </w14:solidFill>
          </w14:textFill>
        </w:rPr>
        <w:t>建议，管理办负责汇总整理各方项目建议，分领域组织专家论证，召开联席工作会议讨论。年度项目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需求</w:t>
      </w:r>
      <w:r>
        <w:rPr>
          <w:rFonts w:hint="eastAsia" w:ascii="仿宋_GB2312" w:hAnsi="仿宋_GB2312" w:eastAsia="仿宋_GB2312" w:cs="仿宋_GB2312"/>
          <w:color w:val="000000" w:themeColor="text1"/>
          <w:sz w:val="32"/>
          <w:szCs w:val="32"/>
          <w:highlight w:val="none"/>
          <w14:textFill>
            <w14:solidFill>
              <w14:schemeClr w14:val="tx1"/>
            </w14:solidFill>
          </w14:textFill>
        </w:rPr>
        <w:t>由管委会审定。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十七条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省科技厅</w:t>
      </w:r>
      <w:r>
        <w:rPr>
          <w:rFonts w:hint="eastAsia" w:ascii="仿宋_GB2312" w:hAnsi="仿宋_GB2312" w:eastAsia="仿宋_GB2312" w:cs="仿宋_GB2312"/>
          <w:color w:val="000000" w:themeColor="text1"/>
          <w:sz w:val="32"/>
          <w:szCs w:val="32"/>
          <w:highlight w:val="none"/>
          <w14:textFill>
            <w14:solidFill>
              <w14:schemeClr w14:val="tx1"/>
            </w14:solidFill>
          </w14:textFill>
        </w:rPr>
        <w:t>负责</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省联合资助</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需求</w:t>
      </w:r>
      <w:r>
        <w:rPr>
          <w:rFonts w:hint="eastAsia" w:ascii="仿宋_GB2312" w:hAnsi="仿宋_GB2312" w:eastAsia="仿宋_GB2312" w:cs="仿宋_GB2312"/>
          <w:color w:val="000000" w:themeColor="text1"/>
          <w:sz w:val="32"/>
          <w:szCs w:val="32"/>
          <w:highlight w:val="none"/>
          <w14:textFill>
            <w14:solidFill>
              <w14:schemeClr w14:val="tx1"/>
            </w14:solidFill>
          </w14:textFill>
        </w:rPr>
        <w:t>发布、受理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申请</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、开展形式审查</w:t>
      </w:r>
      <w:r>
        <w:rPr>
          <w:rFonts w:hint="eastAsia" w:ascii="仿宋_GB2312" w:hAnsi="仿宋_GB2312" w:eastAsia="仿宋_GB2312" w:cs="仿宋_GB2312"/>
          <w:color w:val="000000" w:themeColor="text1"/>
          <w:sz w:val="32"/>
          <w:szCs w:val="32"/>
          <w:highlight w:val="none"/>
          <w14:textFill>
            <w14:solidFill>
              <w14:schemeClr w14:val="tx1"/>
            </w14:solidFill>
          </w14:textFill>
        </w:rPr>
        <w:t>，并组织同行专家进行通讯评审和会议评审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组织召开联席工作会议，根据评审结果确定拟批准项目数量、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支持强度</w:t>
      </w:r>
      <w:r>
        <w:rPr>
          <w:rFonts w:hint="eastAsia" w:ascii="仿宋_GB2312" w:hAnsi="仿宋_GB2312" w:eastAsia="仿宋_GB2312" w:cs="仿宋_GB2312"/>
          <w:color w:val="000000" w:themeColor="text1"/>
          <w:sz w:val="32"/>
          <w:szCs w:val="32"/>
          <w:highlight w:val="none"/>
          <w14:textFill>
            <w14:solidFill>
              <w14:schemeClr w14:val="tx1"/>
            </w14:solidFill>
          </w14:textFill>
        </w:rPr>
        <w:t>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十八条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鼓励</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联合资助方</w:t>
      </w:r>
      <w:r>
        <w:rPr>
          <w:rFonts w:hint="eastAsia" w:ascii="仿宋_GB2312" w:hAnsi="仿宋_GB2312" w:eastAsia="仿宋_GB2312" w:cs="仿宋_GB2312"/>
          <w:color w:val="000000" w:themeColor="text1"/>
          <w:sz w:val="32"/>
          <w:szCs w:val="32"/>
          <w:highlight w:val="none"/>
          <w14:textFill>
            <w14:solidFill>
              <w14:schemeClr w14:val="tx1"/>
            </w14:solidFill>
          </w14:textFill>
        </w:rPr>
        <w:t>参与</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项目管理</w:t>
      </w:r>
      <w:r>
        <w:rPr>
          <w:rFonts w:hint="eastAsia" w:ascii="仿宋_GB2312" w:hAnsi="仿宋_GB2312" w:eastAsia="仿宋_GB2312" w:cs="仿宋_GB2312"/>
          <w:color w:val="000000" w:themeColor="text1"/>
          <w:sz w:val="32"/>
          <w:szCs w:val="32"/>
          <w:highlight w:val="none"/>
          <w14:textFill>
            <w14:solidFill>
              <w14:schemeClr w14:val="tx1"/>
            </w14:solidFill>
          </w14:textFill>
        </w:rPr>
        <w:t>和结题审查等交流活动，注重成果的总结和发掘</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促进</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科学</w:t>
      </w:r>
      <w:r>
        <w:rPr>
          <w:rFonts w:hint="eastAsia" w:ascii="仿宋_GB2312" w:hAnsi="仿宋_GB2312" w:eastAsia="仿宋_GB2312" w:cs="仿宋_GB2312"/>
          <w:color w:val="000000" w:themeColor="text1"/>
          <w:sz w:val="32"/>
          <w:szCs w:val="32"/>
          <w:highlight w:val="none"/>
          <w14:textFill>
            <w14:solidFill>
              <w14:schemeClr w14:val="tx1"/>
            </w14:solidFill>
          </w14:textFill>
        </w:rPr>
        <w:t>研究数据共享和研究成果的转移转化。</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十九条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sz w:val="32"/>
          <w:szCs w:val="32"/>
          <w:highlight w:val="none"/>
          <w:lang w:val="en-US" w:eastAsia="zh-CN"/>
        </w:rPr>
        <w:t>项目承担单位定期提交绩效自评价报告。</w:t>
      </w:r>
      <w:r>
        <w:rPr>
          <w:rFonts w:hint="eastAsia" w:ascii="仿宋_GB2312" w:hAnsi="仿宋_GB2312" w:eastAsia="仿宋_GB2312" w:cs="仿宋_GB2312"/>
          <w:color w:val="000000" w:themeColor="text1"/>
          <w:sz w:val="32"/>
          <w:szCs w:val="32"/>
          <w:highlight w:val="none"/>
          <w14:textFill>
            <w14:solidFill>
              <w14:schemeClr w14:val="tx1"/>
            </w14:solidFill>
          </w14:textFill>
        </w:rPr>
        <w:t>管理办根据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实施情况，</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组织第三方机构对其实施效果进行绩效评估，提高资助效益。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二十条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管理办应每年向管委会汇报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省联合资助</w:t>
      </w:r>
      <w:r>
        <w:rPr>
          <w:rFonts w:hint="eastAsia" w:ascii="仿宋_GB2312" w:hAnsi="仿宋_GB2312" w:eastAsia="仿宋_GB2312" w:cs="仿宋_GB2312"/>
          <w:color w:val="000000" w:themeColor="text1"/>
          <w:sz w:val="32"/>
          <w:szCs w:val="32"/>
          <w:highlight w:val="none"/>
          <w14:textFill>
            <w14:solidFill>
              <w14:schemeClr w14:val="tx1"/>
            </w14:solidFill>
          </w14:textFill>
        </w:rPr>
        <w:t>经费使用情况，以强化监督管理。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二十一</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受</w:t>
      </w:r>
      <w:r>
        <w:rPr>
          <w:rFonts w:hint="eastAsia" w:ascii="仿宋_GB2312" w:hAnsi="仿宋_GB2312" w:eastAsia="仿宋_GB2312" w:cs="仿宋_GB2312"/>
          <w:color w:val="000000" w:themeColor="text1"/>
          <w:sz w:val="32"/>
          <w:szCs w:val="32"/>
          <w:highlight w:val="none"/>
          <w14:textFill>
            <w14:solidFill>
              <w14:schemeClr w14:val="tx1"/>
            </w14:solidFill>
          </w14:textFill>
        </w:rPr>
        <w:t>资助项目形成的有关论文、专著、研究报告、软件、专利及获奖、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研究</w:t>
      </w:r>
      <w:r>
        <w:rPr>
          <w:rFonts w:hint="eastAsia" w:ascii="仿宋_GB2312" w:hAnsi="仿宋_GB2312" w:eastAsia="仿宋_GB2312" w:cs="仿宋_GB2312"/>
          <w:color w:val="000000" w:themeColor="text1"/>
          <w:sz w:val="32"/>
          <w:szCs w:val="32"/>
          <w:highlight w:val="none"/>
          <w14:textFill>
            <w14:solidFill>
              <w14:schemeClr w14:val="tx1"/>
            </w14:solidFill>
          </w14:textFill>
        </w:rPr>
        <w:t>成果等，须注明获得“</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山西</w:t>
      </w:r>
      <w:r>
        <w:rPr>
          <w:rFonts w:hint="eastAsia" w:ascii="仿宋_GB2312" w:hAnsi="仿宋_GB2312" w:eastAsia="仿宋_GB2312" w:cs="仿宋_GB2312"/>
          <w:color w:val="000000" w:themeColor="text1"/>
          <w:sz w:val="32"/>
          <w:szCs w:val="32"/>
          <w:highlight w:val="none"/>
          <w14:textFill>
            <w14:solidFill>
              <w14:schemeClr w14:val="tx1"/>
            </w14:solidFill>
          </w14:textFill>
        </w:rPr>
        <w:t>省</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基础研究计划联合资助项目（××）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（项目批准号）”或作有关说明。</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十</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省联合资助项目</w:t>
      </w:r>
      <w:r>
        <w:rPr>
          <w:rFonts w:hint="eastAsia" w:ascii="仿宋_GB2312" w:hAnsi="仿宋_GB2312" w:eastAsia="仿宋_GB2312" w:cs="仿宋_GB2312"/>
          <w:color w:val="000000" w:themeColor="text1"/>
          <w:sz w:val="32"/>
          <w:szCs w:val="32"/>
          <w:highlight w:val="none"/>
          <w14:textFill>
            <w14:solidFill>
              <w14:schemeClr w14:val="tx1"/>
            </w14:solidFill>
          </w14:textFill>
        </w:rPr>
        <w:t>所产生的研究成果及其所形成的知识产权的归属、转移、转让</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，依</w:t>
      </w:r>
      <w:r>
        <w:rPr>
          <w:rFonts w:hint="eastAsia" w:ascii="仿宋_GB2312" w:hAnsi="仿宋_GB2312" w:eastAsia="仿宋_GB2312" w:cs="仿宋_GB2312"/>
          <w:color w:val="000000" w:themeColor="text1"/>
          <w:sz w:val="32"/>
          <w:szCs w:val="32"/>
          <w:highlight w:val="none"/>
          <w14:textFill>
            <w14:solidFill>
              <w14:schemeClr w14:val="tx1"/>
            </w14:solidFill>
          </w14:textFill>
        </w:rPr>
        <w:t>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承担单位</w:t>
      </w:r>
      <w:r>
        <w:rPr>
          <w:rFonts w:hint="eastAsia" w:ascii="仿宋_GB2312" w:hAnsi="仿宋_GB2312" w:eastAsia="仿宋_GB2312" w:cs="仿宋_GB2312"/>
          <w:color w:val="000000" w:themeColor="text1"/>
          <w:sz w:val="32"/>
          <w:szCs w:val="32"/>
          <w:highlight w:val="none"/>
          <w14:textFill>
            <w14:solidFill>
              <w14:schemeClr w14:val="tx1"/>
            </w14:solidFill>
          </w14:textFill>
        </w:rPr>
        <w:t>与联合资助方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协议约定执行</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未作约定的</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国家相关法律法规</w:t>
      </w:r>
      <w:r>
        <w:rPr>
          <w:rFonts w:hint="eastAsia" w:ascii="仿宋_GB2312" w:hAnsi="仿宋_GB2312" w:eastAsia="仿宋_GB2312" w:cs="仿宋_GB2312"/>
          <w:color w:val="000000" w:themeColor="text1"/>
          <w:sz w:val="32"/>
          <w:szCs w:val="32"/>
          <w:highlight w:val="none"/>
          <w14:textFill>
            <w14:solidFill>
              <w14:schemeClr w14:val="tx1"/>
            </w14:solidFill>
          </w14:textFill>
        </w:rPr>
        <w:t>执行。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二十三</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资助项目因故终止或撤销，项目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承担</w:t>
      </w:r>
      <w:r>
        <w:rPr>
          <w:rFonts w:hint="eastAsia" w:ascii="仿宋_GB2312" w:hAnsi="仿宋_GB2312" w:eastAsia="仿宋_GB2312" w:cs="仿宋_GB2312"/>
          <w:color w:val="000000" w:themeColor="text1"/>
          <w:sz w:val="32"/>
          <w:szCs w:val="32"/>
          <w:highlight w:val="none"/>
          <w14:textFill>
            <w14:solidFill>
              <w14:schemeClr w14:val="tx1"/>
            </w14:solidFill>
          </w14:textFill>
        </w:rPr>
        <w:t>单位要及时清理账目，将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结余资金及用于项目科研活动之外的资金或全部资金按比例退还</w:t>
      </w:r>
      <w:r>
        <w:rPr>
          <w:rFonts w:hint="eastAsia" w:ascii="仿宋_GB2312" w:hAnsi="仿宋_GB2312" w:eastAsia="仿宋_GB2312" w:cs="仿宋_GB2312"/>
          <w:color w:val="000000" w:themeColor="text1"/>
          <w:sz w:val="32"/>
          <w:szCs w:val="32"/>
          <w:highlight w:val="none"/>
          <w14:textFill>
            <w14:solidFill>
              <w14:schemeClr w14:val="tx1"/>
            </w14:solidFill>
          </w14:textFill>
        </w:rPr>
        <w:t>出资方。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二十四</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color w:val="000000" w:themeColor="text1"/>
          <w:sz w:val="32"/>
          <w:szCs w:val="32"/>
          <w:highlight w:val="none"/>
          <w14:textFill>
            <w14:solidFill>
              <w14:schemeClr w14:val="tx1"/>
            </w14:solidFill>
          </w14:textFill>
        </w:rPr>
        <w:t xml:space="preserve"> 合作协议</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执行过程中的任何重大变更，应由省科技厅与联合资助方共同协商并以书面形式签署补充协议为准，补充协议与原协议具有同等法律效力</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w:t>
      </w:r>
      <w:r>
        <w:rPr>
          <w:rFonts w:hint="eastAsia" w:ascii="黑体" w:hAnsi="黑体" w:eastAsia="黑体"/>
          <w:color w:val="000000" w:themeColor="text1"/>
          <w:sz w:val="32"/>
          <w:szCs w:val="32"/>
          <w:highlight w:val="none"/>
          <w:lang w:eastAsia="zh-CN"/>
          <w14:textFill>
            <w14:solidFill>
              <w14:schemeClr w14:val="tx1"/>
            </w14:solidFill>
          </w14:textFill>
        </w:rPr>
        <w:t>五</w:t>
      </w:r>
      <w:r>
        <w:rPr>
          <w:rFonts w:hint="eastAsia" w:ascii="黑体" w:hAnsi="黑体" w:eastAsia="黑体"/>
          <w:color w:val="000000" w:themeColor="text1"/>
          <w:sz w:val="32"/>
          <w:szCs w:val="32"/>
          <w:highlight w:val="none"/>
          <w14:textFill>
            <w14:solidFill>
              <w14:schemeClr w14:val="tx1"/>
            </w14:solidFill>
          </w14:textFill>
        </w:rPr>
        <w:t>章 附</w:t>
      </w:r>
      <w:r>
        <w:rPr>
          <w:rFonts w:hint="eastAsia" w:ascii="黑体" w:hAnsi="黑体" w:eastAsia="黑体"/>
          <w:color w:val="000000" w:themeColor="text1"/>
          <w:sz w:val="32"/>
          <w:szCs w:val="32"/>
          <w:highlight w:val="none"/>
          <w:lang w:val="en-US" w:eastAsia="zh-CN"/>
          <w14:textFill>
            <w14:solidFill>
              <w14:schemeClr w14:val="tx1"/>
            </w14:solidFill>
          </w14:textFill>
        </w:rPr>
        <w:t xml:space="preserve">  </w:t>
      </w:r>
      <w:r>
        <w:rPr>
          <w:rFonts w:hint="eastAsia" w:ascii="黑体" w:hAnsi="黑体" w:eastAsia="黑体"/>
          <w:color w:val="000000" w:themeColor="text1"/>
          <w:sz w:val="32"/>
          <w:szCs w:val="32"/>
          <w:highlight w:val="none"/>
          <w14:textFill>
            <w14:solidFill>
              <w14:schemeClr w14:val="tx1"/>
            </w14:solidFill>
          </w14:textFill>
        </w:rPr>
        <w:t>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十</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本办法由省科技厅</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负责</w:t>
      </w:r>
      <w:r>
        <w:rPr>
          <w:rFonts w:hint="eastAsia" w:ascii="仿宋_GB2312" w:hAnsi="仿宋_GB2312" w:eastAsia="仿宋_GB2312" w:cs="仿宋_GB2312"/>
          <w:color w:val="000000" w:themeColor="text1"/>
          <w:sz w:val="32"/>
          <w:szCs w:val="32"/>
          <w:highlight w:val="none"/>
          <w14:textFill>
            <w14:solidFill>
              <w14:schemeClr w14:val="tx1"/>
            </w14:solidFill>
          </w14:textFill>
        </w:rPr>
        <w:t>解释。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2" w:firstLineChars="200"/>
        <w:jc w:val="both"/>
        <w:textAlignment w:val="auto"/>
        <w:outlineLvl w:val="9"/>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第</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十</w:t>
      </w:r>
      <w:r>
        <w:rPr>
          <w:rFonts w:hint="eastAsia" w:ascii="仿宋_GB2312" w:hAnsi="仿宋_GB2312" w:eastAsia="仿宋_GB2312" w:cs="仿宋_GB2312"/>
          <w:b/>
          <w:bCs/>
          <w:color w:val="000000" w:themeColor="text1"/>
          <w:sz w:val="32"/>
          <w:szCs w:val="32"/>
          <w:highlight w:val="none"/>
          <w:lang w:eastAsia="zh-CN"/>
          <w14:textFill>
            <w14:solidFill>
              <w14:schemeClr w14:val="tx1"/>
            </w14:solidFill>
          </w14:textFill>
        </w:rPr>
        <w:t>六</w:t>
      </w:r>
      <w:r>
        <w:rPr>
          <w:rFonts w:hint="eastAsia" w:ascii="仿宋_GB2312" w:hAnsi="仿宋_GB2312" w:eastAsia="仿宋_GB2312" w:cs="仿宋_GB2312"/>
          <w:b/>
          <w:bCs/>
          <w:color w:val="000000" w:themeColor="text1"/>
          <w:sz w:val="32"/>
          <w:szCs w:val="32"/>
          <w:highlight w:val="none"/>
          <w14:textFill>
            <w14:solidFill>
              <w14:schemeClr w14:val="tx1"/>
            </w14:solidFill>
          </w14:textFill>
        </w:rPr>
        <w:t>条</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highlight w:val="none"/>
          <w14:textFill>
            <w14:solidFill>
              <w14:schemeClr w14:val="tx1"/>
            </w14:solidFill>
          </w14:textFill>
        </w:rPr>
        <w:t>本办法自20</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23</w:t>
      </w:r>
      <w:r>
        <w:rPr>
          <w:rFonts w:hint="eastAsia" w:ascii="仿宋_GB2312" w:hAnsi="仿宋_GB2312" w:eastAsia="仿宋_GB2312" w:cs="仿宋_GB2312"/>
          <w:color w:val="000000" w:themeColor="text1"/>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27</w:t>
      </w:r>
      <w:r>
        <w:rPr>
          <w:rFonts w:hint="eastAsia" w:ascii="仿宋_GB2312" w:hAnsi="仿宋_GB2312" w:eastAsia="仿宋_GB2312" w:cs="仿宋_GB2312"/>
          <w:color w:val="000000" w:themeColor="text1"/>
          <w:sz w:val="32"/>
          <w:szCs w:val="32"/>
          <w:highlight w:val="none"/>
          <w14:textFill>
            <w14:solidFill>
              <w14:schemeClr w14:val="tx1"/>
            </w14:solidFill>
          </w14:textFill>
        </w:rPr>
        <w:t>日起实施。</w:t>
      </w:r>
      <w:bookmarkStart w:id="0" w:name="_GoBack"/>
      <w:bookmarkEnd w:id="0"/>
    </w:p>
    <w:sectPr>
      <w:headerReference r:id="rId3" w:type="default"/>
      <w:footerReference r:id="rId4" w:type="default"/>
      <w:pgSz w:w="11906" w:h="16838"/>
      <w:pgMar w:top="2097" w:right="1474" w:bottom="1984" w:left="1587"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Align="top"/>
      <w:pBdr>
        <w:top w:val="none" w:color="auto" w:sz="0" w:space="0"/>
        <w:left w:val="none" w:color="auto" w:sz="0" w:space="0"/>
        <w:bottom w:val="none" w:color="auto" w:sz="0" w:space="0"/>
        <w:right w:val="none" w:color="auto" w:sz="0" w:space="0"/>
        <w:between w:val="none" w:color="auto" w:sz="0" w:space="0"/>
      </w:pBdr>
      <w:spacing w:after="0" w:afterLines="0"/>
      <w:rPr>
        <w:sz w:val="24"/>
      </w:rPr>
    </w:pPr>
    <w:r>
      <w:rPr>
        <w:rStyle w:val="6"/>
        <w:rFonts w:hint="eastAsia"/>
        <w:sz w:val="24"/>
        <w:lang w:eastAsia="zh-CN"/>
      </w:rPr>
      <w:t>—</w:t>
    </w:r>
    <w:r>
      <w:rPr>
        <w:sz w:val="24"/>
      </w:rPr>
      <w:fldChar w:fldCharType="begin"/>
    </w:r>
    <w:r>
      <w:rPr>
        <w:rStyle w:val="6"/>
        <w:sz w:val="24"/>
      </w:rPr>
      <w:instrText xml:space="preserve"> PAGE  </w:instrText>
    </w:r>
    <w:r>
      <w:rPr>
        <w:sz w:val="24"/>
      </w:rPr>
      <w:fldChar w:fldCharType="separate"/>
    </w:r>
    <w:r>
      <w:rPr>
        <w:rStyle w:val="6"/>
        <w:sz w:val="24"/>
      </w:rPr>
      <w:t>1</w:t>
    </w:r>
    <w:r>
      <w:rPr>
        <w:sz w:val="24"/>
      </w:rPr>
      <w:fldChar w:fldCharType="end"/>
    </w:r>
    <w:r>
      <w:rPr>
        <w:rStyle w:val="6"/>
        <w:rFonts w:hint="eastAsia"/>
        <w:sz w:val="24"/>
        <w:lang w:eastAsia="zh-CN"/>
      </w:rPr>
      <w:t>—</w:t>
    </w:r>
  </w:p>
  <w:p>
    <w:pPr>
      <w:pStyle w:val="2"/>
      <w:ind w:right="360" w:firstLine="360" w:firstLineChars="0"/>
      <w:rPr>
        <w:sz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59E95E"/>
    <w:multiLevelType w:val="singleLevel"/>
    <w:tmpl w:val="3059E95E"/>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NTEyNmI5MGUyYjQ0ZWYxZGNkZjljNTQ0MzZkZjgifQ=="/>
  </w:docVars>
  <w:rsids>
    <w:rsidRoot w:val="534F664B"/>
    <w:rsid w:val="00431827"/>
    <w:rsid w:val="017A7B9B"/>
    <w:rsid w:val="03017D30"/>
    <w:rsid w:val="03825913"/>
    <w:rsid w:val="05DA1A74"/>
    <w:rsid w:val="09AB024D"/>
    <w:rsid w:val="0C63477C"/>
    <w:rsid w:val="0CCA4967"/>
    <w:rsid w:val="0D1B7B4D"/>
    <w:rsid w:val="0D461D6D"/>
    <w:rsid w:val="0E3405B8"/>
    <w:rsid w:val="10B677EA"/>
    <w:rsid w:val="165D1B91"/>
    <w:rsid w:val="187F7C86"/>
    <w:rsid w:val="196950B1"/>
    <w:rsid w:val="1C4C7E05"/>
    <w:rsid w:val="1C7109C0"/>
    <w:rsid w:val="1D2D3DBB"/>
    <w:rsid w:val="1DB374BE"/>
    <w:rsid w:val="1EC8718B"/>
    <w:rsid w:val="203254AD"/>
    <w:rsid w:val="2138024F"/>
    <w:rsid w:val="2241029D"/>
    <w:rsid w:val="224F6997"/>
    <w:rsid w:val="247C20A8"/>
    <w:rsid w:val="24E214D9"/>
    <w:rsid w:val="25EB26F5"/>
    <w:rsid w:val="2762154B"/>
    <w:rsid w:val="29C50DFA"/>
    <w:rsid w:val="2B162E02"/>
    <w:rsid w:val="2CB17B09"/>
    <w:rsid w:val="2CE57EBA"/>
    <w:rsid w:val="2DBB470D"/>
    <w:rsid w:val="2DE133A7"/>
    <w:rsid w:val="31174C04"/>
    <w:rsid w:val="32700F31"/>
    <w:rsid w:val="35B61B3F"/>
    <w:rsid w:val="35CA073E"/>
    <w:rsid w:val="369436B5"/>
    <w:rsid w:val="379E22D5"/>
    <w:rsid w:val="380C5C54"/>
    <w:rsid w:val="38F26354"/>
    <w:rsid w:val="3929719C"/>
    <w:rsid w:val="3B020CE3"/>
    <w:rsid w:val="3C6D4A93"/>
    <w:rsid w:val="3DA57EFF"/>
    <w:rsid w:val="3DED5838"/>
    <w:rsid w:val="3E54483F"/>
    <w:rsid w:val="3E8F70A4"/>
    <w:rsid w:val="3EB962F8"/>
    <w:rsid w:val="3FA20054"/>
    <w:rsid w:val="40991DA8"/>
    <w:rsid w:val="40C72802"/>
    <w:rsid w:val="4249450D"/>
    <w:rsid w:val="44CB1696"/>
    <w:rsid w:val="45C16599"/>
    <w:rsid w:val="476F352E"/>
    <w:rsid w:val="48113F49"/>
    <w:rsid w:val="497A6C4E"/>
    <w:rsid w:val="49E62424"/>
    <w:rsid w:val="4A8E402C"/>
    <w:rsid w:val="4D41465D"/>
    <w:rsid w:val="4D761B88"/>
    <w:rsid w:val="4D8A59E4"/>
    <w:rsid w:val="4E890362"/>
    <w:rsid w:val="4F907B20"/>
    <w:rsid w:val="5087739F"/>
    <w:rsid w:val="534F664B"/>
    <w:rsid w:val="53843FCA"/>
    <w:rsid w:val="55065A19"/>
    <w:rsid w:val="56691C9D"/>
    <w:rsid w:val="56CE6603"/>
    <w:rsid w:val="59AD333B"/>
    <w:rsid w:val="5A403219"/>
    <w:rsid w:val="5AB21D8F"/>
    <w:rsid w:val="5CA37781"/>
    <w:rsid w:val="5CAF3BDF"/>
    <w:rsid w:val="5D0E2B7E"/>
    <w:rsid w:val="5D332B65"/>
    <w:rsid w:val="5E4007C3"/>
    <w:rsid w:val="5E4A692D"/>
    <w:rsid w:val="5E6D0391"/>
    <w:rsid w:val="5FBC5C90"/>
    <w:rsid w:val="60A4166B"/>
    <w:rsid w:val="60FF1067"/>
    <w:rsid w:val="624F5E14"/>
    <w:rsid w:val="62712158"/>
    <w:rsid w:val="62B852C3"/>
    <w:rsid w:val="62E8424C"/>
    <w:rsid w:val="62EC1CDB"/>
    <w:rsid w:val="649E445B"/>
    <w:rsid w:val="6664166E"/>
    <w:rsid w:val="67694D70"/>
    <w:rsid w:val="67832E90"/>
    <w:rsid w:val="678E3457"/>
    <w:rsid w:val="67D26069"/>
    <w:rsid w:val="6A8226CA"/>
    <w:rsid w:val="6C9A322D"/>
    <w:rsid w:val="6CB061F9"/>
    <w:rsid w:val="6EDF5FA0"/>
    <w:rsid w:val="6EE4561F"/>
    <w:rsid w:val="6F271592"/>
    <w:rsid w:val="707E6891"/>
    <w:rsid w:val="70F01BC3"/>
    <w:rsid w:val="75D816D5"/>
    <w:rsid w:val="75F06371"/>
    <w:rsid w:val="764276CB"/>
    <w:rsid w:val="77165BF8"/>
    <w:rsid w:val="785F33D5"/>
    <w:rsid w:val="78E74258"/>
    <w:rsid w:val="7B1B0E92"/>
    <w:rsid w:val="7C9378B1"/>
    <w:rsid w:val="7E936366"/>
    <w:rsid w:val="7F530EE5"/>
    <w:rsid w:val="7F7E49A2"/>
    <w:rsid w:val="7FE27939"/>
    <w:rsid w:val="FFFCB3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kltzcc</Company>
  <Pages>7</Pages>
  <Words>2560</Words>
  <Characters>2570</Characters>
  <Lines>0</Lines>
  <Paragraphs>0</Paragraphs>
  <TotalTime>195</TotalTime>
  <ScaleCrop>false</ScaleCrop>
  <LinksUpToDate>false</LinksUpToDate>
  <CharactersWithSpaces>2603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2021-04-15T10:27:00Z</dcterms:created>
  <dc:creator>胖胖龙1371381829</dc:creator>
  <cp:lastModifiedBy>greatwall</cp:lastModifiedBy>
  <cp:lastPrinted>2023-02-06T09:13:00Z</cp:lastPrinted>
  <dcterms:modified xsi:type="dcterms:W3CDTF">2023-02-27T19:01:18Z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FED6BB8458914DBD8A6A753B98580831</vt:lpwstr>
  </property>
</Properties>
</file>