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399" w:rsidRDefault="00DF5399" w:rsidP="00DF5399">
      <w:pPr>
        <w:autoSpaceDE w:val="0"/>
        <w:autoSpaceDN w:val="0"/>
        <w:snapToGrid w:val="0"/>
        <w:spacing w:line="540" w:lineRule="exact"/>
        <w:rPr>
          <w:rFonts w:ascii="方正仿宋_GBK" w:eastAsia="方正仿宋_GBK" w:hAnsi="宋体" w:cs="宋体" w:hint="eastAsia"/>
          <w:bCs/>
          <w:kern w:val="0"/>
          <w:sz w:val="32"/>
          <w:szCs w:val="32"/>
        </w:rPr>
      </w:pPr>
      <w:r>
        <w:rPr>
          <w:rFonts w:ascii="方正仿宋_GBK" w:eastAsia="方正仿宋_GBK" w:hAnsi="宋体" w:cs="宋体" w:hint="eastAsia"/>
          <w:bCs/>
          <w:kern w:val="0"/>
          <w:sz w:val="32"/>
          <w:szCs w:val="32"/>
        </w:rPr>
        <w:t>附件3：</w:t>
      </w:r>
    </w:p>
    <w:p w:rsidR="00DF5399" w:rsidRDefault="00DF5399" w:rsidP="00DF5399">
      <w:pPr>
        <w:autoSpaceDE w:val="0"/>
        <w:autoSpaceDN w:val="0"/>
        <w:snapToGrid w:val="0"/>
        <w:spacing w:line="540" w:lineRule="exact"/>
        <w:ind w:firstLine="640"/>
        <w:rPr>
          <w:rFonts w:ascii="方正仿宋_GBK" w:eastAsia="方正仿宋_GBK" w:hAnsi="宋体" w:cs="宋体" w:hint="eastAsia"/>
          <w:bCs/>
          <w:kern w:val="0"/>
          <w:sz w:val="32"/>
          <w:szCs w:val="32"/>
        </w:rPr>
      </w:pPr>
    </w:p>
    <w:p w:rsidR="00DF5399" w:rsidRDefault="00DF5399" w:rsidP="00DF5399">
      <w:pPr>
        <w:widowControl/>
        <w:spacing w:line="580" w:lineRule="exact"/>
        <w:jc w:val="center"/>
        <w:rPr>
          <w:rFonts w:ascii="方正小标宋_GBK" w:eastAsia="方正小标宋_GBK" w:hAnsi="宋体" w:cs="宋体" w:hint="eastAsia"/>
          <w:bCs/>
          <w:kern w:val="0"/>
          <w:sz w:val="44"/>
          <w:szCs w:val="44"/>
          <w:lang/>
        </w:rPr>
      </w:pPr>
      <w:r>
        <w:rPr>
          <w:rFonts w:ascii="方正小标宋_GBK" w:eastAsia="方正小标宋_GBK" w:hAnsi="宋体" w:cs="宋体" w:hint="eastAsia"/>
          <w:bCs/>
          <w:kern w:val="0"/>
          <w:sz w:val="44"/>
          <w:szCs w:val="44"/>
        </w:rPr>
        <w:t>和谐劳动关系行业</w:t>
      </w:r>
      <w:r>
        <w:rPr>
          <w:rFonts w:ascii="方正小标宋_GBK" w:eastAsia="方正小标宋_GBK" w:hAnsi="宋体" w:cs="宋体"/>
          <w:bCs/>
          <w:kern w:val="0"/>
          <w:sz w:val="44"/>
          <w:szCs w:val="44"/>
          <w:lang/>
        </w:rPr>
        <w:t>评估</w:t>
      </w:r>
      <w:r>
        <w:rPr>
          <w:rFonts w:ascii="方正小标宋_GBK" w:eastAsia="方正小标宋_GBK" w:hAnsi="宋体" w:cs="宋体" w:hint="eastAsia"/>
          <w:bCs/>
          <w:kern w:val="0"/>
          <w:sz w:val="44"/>
          <w:szCs w:val="44"/>
          <w:lang/>
        </w:rPr>
        <w:t>表</w:t>
      </w:r>
    </w:p>
    <w:p w:rsidR="00DF5399" w:rsidRDefault="00DF5399" w:rsidP="00DF5399">
      <w:pPr>
        <w:widowControl/>
        <w:spacing w:line="580" w:lineRule="exact"/>
        <w:ind w:firstLineChars="200" w:firstLine="560"/>
        <w:rPr>
          <w:rFonts w:ascii="CESI楷体-GB2312" w:eastAsia="CESI楷体-GB2312" w:hAnsi="CESI楷体-GB2312" w:cs="CESI楷体-GB2312" w:hint="eastAsia"/>
          <w:bCs/>
          <w:kern w:val="0"/>
          <w:sz w:val="28"/>
          <w:szCs w:val="28"/>
          <w:lang/>
        </w:rPr>
      </w:pPr>
      <w:r>
        <w:rPr>
          <w:rFonts w:ascii="CESI楷体-GB2312" w:eastAsia="CESI楷体-GB2312" w:hAnsi="CESI楷体-GB2312" w:cs="CESI楷体-GB2312" w:hint="eastAsia"/>
          <w:bCs/>
          <w:kern w:val="0"/>
          <w:sz w:val="28"/>
          <w:szCs w:val="28"/>
          <w:lang/>
        </w:rPr>
        <w:t>被评估单位：</w:t>
      </w:r>
      <w:r>
        <w:rPr>
          <w:rFonts w:ascii="CESI楷体-GB2312" w:eastAsia="CESI楷体-GB2312" w:hAnsi="CESI楷体-GB2312" w:cs="CESI楷体-GB2312" w:hint="eastAsia"/>
          <w:bCs/>
          <w:kern w:val="0"/>
          <w:sz w:val="28"/>
          <w:szCs w:val="28"/>
        </w:rPr>
        <w:t xml:space="preserve">                               </w:t>
      </w:r>
      <w:r>
        <w:rPr>
          <w:rFonts w:ascii="CESI楷体-GB2312" w:eastAsia="CESI楷体-GB2312" w:hAnsi="CESI楷体-GB2312" w:cs="CESI楷体-GB2312" w:hint="eastAsia"/>
          <w:bCs/>
          <w:kern w:val="0"/>
          <w:sz w:val="28"/>
          <w:szCs w:val="28"/>
          <w:lang/>
        </w:rPr>
        <w:t>评估单位：</w:t>
      </w:r>
      <w:r>
        <w:rPr>
          <w:rFonts w:ascii="CESI楷体-GB2312" w:eastAsia="CESI楷体-GB2312" w:hAnsi="CESI楷体-GB2312" w:cs="CESI楷体-GB2312" w:hint="eastAsia"/>
          <w:bCs/>
          <w:kern w:val="0"/>
          <w:sz w:val="28"/>
          <w:szCs w:val="28"/>
        </w:rPr>
        <w:t xml:space="preserve">                         </w:t>
      </w:r>
      <w:r>
        <w:rPr>
          <w:rFonts w:ascii="CESI楷体-GB2312" w:eastAsia="CESI楷体-GB2312" w:hAnsi="CESI楷体-GB2312" w:cs="CESI楷体-GB2312" w:hint="eastAsia"/>
          <w:bCs/>
          <w:kern w:val="0"/>
          <w:sz w:val="28"/>
          <w:szCs w:val="28"/>
          <w:lang/>
        </w:rPr>
        <w:t>总得分：</w:t>
      </w:r>
    </w:p>
    <w:tbl>
      <w:tblPr>
        <w:tblW w:w="1355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tblPr>
      <w:tblGrid>
        <w:gridCol w:w="1403"/>
        <w:gridCol w:w="11218"/>
        <w:gridCol w:w="931"/>
      </w:tblGrid>
      <w:tr w:rsidR="00DF5399" w:rsidTr="00A90F32">
        <w:trPr>
          <w:jc w:val="center"/>
        </w:trPr>
        <w:tc>
          <w:tcPr>
            <w:tcW w:w="1403" w:type="dxa"/>
            <w:tcMar>
              <w:top w:w="0" w:type="dxa"/>
              <w:left w:w="108" w:type="dxa"/>
              <w:bottom w:w="0" w:type="dxa"/>
              <w:right w:w="108" w:type="dxa"/>
            </w:tcMar>
            <w:vAlign w:val="center"/>
          </w:tcPr>
          <w:p w:rsidR="00DF5399" w:rsidRDefault="00DF5399" w:rsidP="00A90F32">
            <w:pPr>
              <w:widowControl/>
              <w:spacing w:line="580" w:lineRule="exact"/>
              <w:jc w:val="center"/>
              <w:rPr>
                <w:rFonts w:ascii="方正黑体_GBK" w:eastAsia="方正黑体_GBK" w:hAnsi="宋体" w:cs="宋体" w:hint="eastAsia"/>
                <w:kern w:val="0"/>
                <w:sz w:val="28"/>
                <w:szCs w:val="28"/>
              </w:rPr>
            </w:pPr>
            <w:r>
              <w:rPr>
                <w:rFonts w:ascii="方正黑体_GBK" w:eastAsia="方正黑体_GBK" w:hAnsi="宋体" w:cs="宋体" w:hint="eastAsia"/>
                <w:kern w:val="0"/>
                <w:sz w:val="28"/>
                <w:szCs w:val="28"/>
              </w:rPr>
              <w:t>评价项目</w:t>
            </w:r>
          </w:p>
        </w:tc>
        <w:tc>
          <w:tcPr>
            <w:tcW w:w="11218" w:type="dxa"/>
            <w:tcMar>
              <w:top w:w="0" w:type="dxa"/>
              <w:left w:w="108" w:type="dxa"/>
              <w:bottom w:w="0" w:type="dxa"/>
              <w:right w:w="108" w:type="dxa"/>
            </w:tcMar>
            <w:vAlign w:val="center"/>
          </w:tcPr>
          <w:p w:rsidR="00DF5399" w:rsidRDefault="00DF5399" w:rsidP="00A90F32">
            <w:pPr>
              <w:widowControl/>
              <w:spacing w:line="580" w:lineRule="exact"/>
              <w:jc w:val="center"/>
              <w:rPr>
                <w:rFonts w:ascii="方正黑体_GBK" w:eastAsia="方正黑体_GBK" w:hAnsi="宋体" w:cs="宋体" w:hint="eastAsia"/>
                <w:kern w:val="0"/>
                <w:sz w:val="28"/>
                <w:szCs w:val="28"/>
              </w:rPr>
            </w:pPr>
            <w:r>
              <w:rPr>
                <w:rFonts w:ascii="方正黑体_GBK" w:eastAsia="方正黑体_GBK" w:hAnsi="宋体" w:cs="宋体"/>
                <w:kern w:val="0"/>
                <w:sz w:val="28"/>
                <w:szCs w:val="28"/>
                <w:lang/>
              </w:rPr>
              <w:t>评价</w:t>
            </w:r>
            <w:r>
              <w:rPr>
                <w:rFonts w:ascii="方正黑体_GBK" w:eastAsia="方正黑体_GBK" w:hAnsi="宋体" w:cs="宋体" w:hint="eastAsia"/>
                <w:kern w:val="0"/>
                <w:sz w:val="28"/>
                <w:szCs w:val="28"/>
              </w:rPr>
              <w:t>内容（含分值）</w:t>
            </w:r>
          </w:p>
        </w:tc>
        <w:tc>
          <w:tcPr>
            <w:tcW w:w="931" w:type="dxa"/>
            <w:tcMar>
              <w:top w:w="0" w:type="dxa"/>
              <w:left w:w="108" w:type="dxa"/>
              <w:bottom w:w="0" w:type="dxa"/>
              <w:right w:w="108" w:type="dxa"/>
            </w:tcMar>
            <w:vAlign w:val="center"/>
          </w:tcPr>
          <w:p w:rsidR="00DF5399" w:rsidRDefault="00DF5399" w:rsidP="00A90F32">
            <w:pPr>
              <w:widowControl/>
              <w:spacing w:line="580" w:lineRule="exact"/>
              <w:jc w:val="center"/>
              <w:rPr>
                <w:rFonts w:ascii="方正黑体_GBK" w:eastAsia="方正黑体_GBK" w:hAnsi="宋体" w:cs="宋体" w:hint="eastAsia"/>
                <w:kern w:val="0"/>
                <w:sz w:val="28"/>
                <w:szCs w:val="28"/>
              </w:rPr>
            </w:pPr>
            <w:r>
              <w:rPr>
                <w:rFonts w:ascii="方正黑体_GBK" w:eastAsia="方正黑体_GBK" w:hAnsi="宋体" w:cs="宋体"/>
                <w:kern w:val="0"/>
                <w:sz w:val="28"/>
                <w:szCs w:val="28"/>
                <w:lang/>
              </w:rPr>
              <w:t>得</w:t>
            </w:r>
            <w:r>
              <w:rPr>
                <w:rFonts w:ascii="方正黑体_GBK" w:eastAsia="方正黑体_GBK" w:hAnsi="宋体" w:cs="宋体" w:hint="eastAsia"/>
                <w:kern w:val="0"/>
                <w:sz w:val="28"/>
                <w:szCs w:val="28"/>
              </w:rPr>
              <w:t>分</w:t>
            </w: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一、工作机制建设（15分）</w:t>
            </w:r>
          </w:p>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1、行业组织建立健全构建和谐劳动关系的工作联动机制，制订创建工作规划（3分）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建立健全行业协调劳动关系三方机制。（3分）行业代表组织关注分析本区域内的行业劳动关系状况及发展趋势，研究提出劳动关系政策建议、在法律政策框架内协商规范本行业劳动关系事项，协调劳动争议。（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3、行业内企业全面开展和谐劳动关系创建活动，符合当地劳动关系和谐标准的企业占本行业企业50%以上。（6分，</w:t>
            </w:r>
            <w:r>
              <w:rPr>
                <w:rFonts w:ascii="方正仿宋_GBK" w:eastAsia="方正仿宋_GBK" w:hAnsi="Times New Roman"/>
                <w:sz w:val="24"/>
                <w:lang/>
              </w:rPr>
              <w:t>80%</w:t>
            </w:r>
            <w:r>
              <w:rPr>
                <w:rFonts w:ascii="方正仿宋_GBK" w:eastAsia="方正仿宋_GBK" w:hAnsi="Times New Roman" w:hint="eastAsia"/>
                <w:sz w:val="24"/>
              </w:rPr>
              <w:t>及</w:t>
            </w:r>
            <w:r>
              <w:rPr>
                <w:rFonts w:ascii="方正仿宋_GBK" w:eastAsia="方正仿宋_GBK" w:hAnsi="Times New Roman" w:hint="eastAsia"/>
                <w:sz w:val="24"/>
                <w:lang/>
              </w:rPr>
              <w:t>以上为</w:t>
            </w:r>
            <w:r>
              <w:rPr>
                <w:rFonts w:ascii="方正仿宋_GBK" w:eastAsia="方正仿宋_GBK" w:hAnsi="Times New Roman" w:hint="eastAsia"/>
                <w:sz w:val="24"/>
              </w:rPr>
              <w:t>6分，60%及以上至80%为4分，50%及以上至60%为2分，50%以下不得分）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二、和谐劳动关系创建的组织发动（15分）</w:t>
            </w:r>
          </w:p>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1、行业组织以本地区行业龙头企业、规模企业为切入点，组织发动本行业开展和谐劳动关系企业创建活动，选树宣传推广和谐劳动关系企业。（2分）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43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以中小微企业和非公企业为重点，开展劳动关系和谐企业培育共同行动，重点针对培育企业开展现场调研、用工指导服务，为企业制定和谐劳动关系诊断培育方案，开展和谐劳动关系创建能力提升培训，推动企业劳动用工状况持续改善。（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43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3、行业内企业能够积极承担社会责任，注重加强企业文化建设，强化对职工的人文关怀，定期开展教育培训活动，提高职工素质和企业竞争力取得明显成效。（2分）</w:t>
            </w:r>
          </w:p>
        </w:tc>
        <w:tc>
          <w:tcPr>
            <w:tcW w:w="931" w:type="dxa"/>
            <w:tcMar>
              <w:top w:w="0" w:type="dxa"/>
              <w:left w:w="108" w:type="dxa"/>
              <w:bottom w:w="0" w:type="dxa"/>
              <w:right w:w="108" w:type="dxa"/>
            </w:tcMar>
          </w:tcPr>
          <w:p w:rsidR="00DF5399" w:rsidRDefault="00DF5399" w:rsidP="00A90F32">
            <w:pPr>
              <w:widowControl/>
              <w:spacing w:line="580" w:lineRule="exact"/>
              <w:rPr>
                <w:rFonts w:ascii="方正仿宋_GBK" w:eastAsia="方正仿宋_GBK" w:hAnsi="Times New Roman" w:hint="eastAsia"/>
                <w:sz w:val="24"/>
              </w:rPr>
            </w:pPr>
          </w:p>
        </w:tc>
      </w:tr>
      <w:tr w:rsidR="00DF5399" w:rsidTr="00A90F32">
        <w:trPr>
          <w:trHeight w:val="43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4、职工对劳动关系和谐情况满意度达90%的企业，占本行业企业70%以上。（5分，占比达80%及以上得5分，达70%及以上至80%得2分，70%以下不得分。）</w:t>
            </w:r>
          </w:p>
        </w:tc>
        <w:tc>
          <w:tcPr>
            <w:tcW w:w="931" w:type="dxa"/>
            <w:tcMar>
              <w:top w:w="0" w:type="dxa"/>
              <w:left w:w="108" w:type="dxa"/>
              <w:bottom w:w="0" w:type="dxa"/>
              <w:right w:w="108" w:type="dxa"/>
            </w:tcMar>
          </w:tcPr>
          <w:p w:rsidR="00DF5399" w:rsidRDefault="00DF5399" w:rsidP="00A90F32">
            <w:pPr>
              <w:widowControl/>
              <w:spacing w:line="580" w:lineRule="exact"/>
              <w:rPr>
                <w:rFonts w:ascii="方正仿宋_GBK" w:eastAsia="方正仿宋_GBK" w:hAnsi="Times New Roman" w:hint="eastAsia"/>
                <w:sz w:val="24"/>
              </w:rPr>
            </w:pPr>
          </w:p>
        </w:tc>
      </w:tr>
      <w:tr w:rsidR="00DF5399" w:rsidTr="00A90F32">
        <w:trPr>
          <w:trHeight w:val="43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5、行业组织定期开展针对企业经营者的劳动保障法律法规教育培训，不断提高企业依法用工意识。（2分）</w:t>
            </w:r>
          </w:p>
        </w:tc>
        <w:tc>
          <w:tcPr>
            <w:tcW w:w="931" w:type="dxa"/>
            <w:tcMar>
              <w:top w:w="0" w:type="dxa"/>
              <w:left w:w="108" w:type="dxa"/>
              <w:bottom w:w="0" w:type="dxa"/>
              <w:right w:w="108" w:type="dxa"/>
            </w:tcMar>
          </w:tcPr>
          <w:p w:rsidR="00DF5399" w:rsidRDefault="00DF5399" w:rsidP="00A90F32">
            <w:pPr>
              <w:widowControl/>
              <w:spacing w:line="580" w:lineRule="exact"/>
              <w:rPr>
                <w:rFonts w:ascii="方正仿宋_GBK" w:eastAsia="方正仿宋_GBK" w:hAnsi="Times New Roman" w:hint="eastAsia"/>
                <w:sz w:val="24"/>
              </w:rPr>
            </w:pPr>
          </w:p>
        </w:tc>
      </w:tr>
      <w:tr w:rsidR="00DF5399" w:rsidTr="00A90F32">
        <w:trPr>
          <w:trHeight w:val="57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sz w:val="24"/>
              </w:rPr>
            </w:pPr>
            <w:r>
              <w:rPr>
                <w:rFonts w:ascii="方正仿宋_GBK" w:eastAsia="方正仿宋_GBK" w:hAnsi="Times New Roman" w:hint="eastAsia"/>
                <w:sz w:val="24"/>
              </w:rPr>
              <w:t>6、加强行业劳动关系协调员、集体协商指导员队伍建设，壮大和谐创建的基本骨干力量。（1分）</w:t>
            </w:r>
          </w:p>
        </w:tc>
        <w:tc>
          <w:tcPr>
            <w:tcW w:w="931" w:type="dxa"/>
            <w:tcMar>
              <w:top w:w="0" w:type="dxa"/>
              <w:left w:w="108" w:type="dxa"/>
              <w:bottom w:w="0" w:type="dxa"/>
              <w:right w:w="108" w:type="dxa"/>
            </w:tcMar>
          </w:tcPr>
          <w:p w:rsidR="00DF5399" w:rsidRDefault="00DF5399" w:rsidP="00A90F32">
            <w:pPr>
              <w:widowControl/>
              <w:spacing w:line="580" w:lineRule="exact"/>
              <w:rPr>
                <w:rFonts w:ascii="方正仿宋_GBK" w:eastAsia="方正仿宋_GBK" w:hAnsi="Times New Roman" w:hint="eastAsia"/>
                <w:sz w:val="24"/>
              </w:rPr>
            </w:pP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三、劳动关系协调机制建设（30分）</w:t>
            </w:r>
          </w:p>
          <w:p w:rsidR="00DF5399" w:rsidRDefault="00DF5399" w:rsidP="00A90F32">
            <w:pPr>
              <w:widowControl/>
              <w:spacing w:line="460" w:lineRule="exact"/>
              <w:rPr>
                <w:rFonts w:ascii="方正楷体_GBK" w:eastAsia="方正楷体_GBK" w:hAnsi="方正楷体_GBK" w:cs="方正楷体_GBK" w:hint="eastAsia"/>
                <w:sz w:val="24"/>
              </w:rPr>
            </w:pPr>
          </w:p>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1</w:t>
            </w:r>
            <w:r>
              <w:rPr>
                <w:rFonts w:ascii="方正仿宋_GBK" w:eastAsia="方正仿宋_GBK" w:hAnsi="Times New Roman" w:hint="eastAsia"/>
                <w:sz w:val="24"/>
              </w:rPr>
              <w:t>、建立行业性集体协商制度，并依法签订行业性集体合同。（5分）行业性集体合同及时报送人力资源社会保障行政部门审查。（2分）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2</w:t>
            </w:r>
            <w:r>
              <w:rPr>
                <w:rFonts w:ascii="方正仿宋_GBK" w:eastAsia="方正仿宋_GBK" w:hAnsi="Times New Roman" w:hint="eastAsia"/>
                <w:sz w:val="24"/>
              </w:rPr>
              <w:t>、行业内企业严格履行行业集体合同，或者在行业集体合同的基础上与职工方进行充分协商，签订企业集体合同或者补充协议，依法报送并有效履行。（3分）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3</w:t>
            </w:r>
            <w:r>
              <w:rPr>
                <w:rFonts w:ascii="方正仿宋_GBK" w:eastAsia="方正仿宋_GBK" w:hAnsi="Times New Roman" w:hint="eastAsia"/>
                <w:sz w:val="24"/>
              </w:rPr>
              <w:t>、行业内企业与职工依法规范签订、履行、变更、解除、终止和续订劳动合同并有效履行。新就业形态行业企业依法规范用工，企业招用劳动者，符合确立劳动关系条件的依法订立劳动合同，不完全符合劳动关系情形但企业对新业态劳动者进行劳动过程管理的协商订立书面用工协议。（4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4</w:t>
            </w:r>
            <w:r>
              <w:rPr>
                <w:rFonts w:ascii="方正仿宋_GBK" w:eastAsia="方正仿宋_GBK" w:hAnsi="Times New Roman" w:hint="eastAsia"/>
                <w:sz w:val="24"/>
              </w:rPr>
              <w:t>、行业内企业劳务派遣用工范围和用工比例符合规定，劳动合同依法规范签订及履行，按照同工同酬原则支付劳动报酬。（3分）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5</w:t>
            </w:r>
            <w:r>
              <w:rPr>
                <w:rFonts w:ascii="方正仿宋_GBK" w:eastAsia="方正仿宋_GBK" w:hAnsi="Times New Roman" w:hint="eastAsia"/>
                <w:sz w:val="24"/>
              </w:rPr>
              <w:t>、行业内企业依法建立工会组织，行业内企业工会组建率达到100%。（3分）行业内企业职工入会率达到100%。（3分）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6</w:t>
            </w:r>
            <w:r>
              <w:rPr>
                <w:rFonts w:ascii="方正仿宋_GBK" w:eastAsia="方正仿宋_GBK" w:hAnsi="Times New Roman" w:hint="eastAsia"/>
                <w:sz w:val="24"/>
              </w:rPr>
              <w:t>、行业内企业普遍建立职工代表大会制度。（3分）行业内企业规章制度的制定经过民主程序，企业厂务公开制度化、规范化。（2分）符合条件的企业建立职工董事、职工监事制度。（2分）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四、职工基本权益的维护（30分）</w:t>
            </w:r>
          </w:p>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1、行业内企业全面执行最低工资标准，工资及加班工资支付依法及时规范。（3分）行业内所有企业依法制定工资支付制度，按时足额发放工资。（3分）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2、行业内企业遵守国家工作时间和休息休假规定，履行各项休假制度。（3分）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3、行业内企业遵守女职工和未成年工特殊劳动保护规定，按法律法规定期对女职工、未成年工进行健康检查，无违法使用童工、损害女职工特殊权益和未成年工合法权益的行为。（3分）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4</w:t>
            </w:r>
            <w:r>
              <w:rPr>
                <w:rFonts w:ascii="方正仿宋_GBK" w:eastAsia="方正仿宋_GBK" w:hAnsi="Times New Roman" w:hint="eastAsia"/>
                <w:sz w:val="24"/>
              </w:rPr>
              <w:t>、行业内企业职工作业场所劳动保护措施和劳动安全卫生条件符合国家规定标准的企业达到100%。（3分）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5</w:t>
            </w:r>
            <w:r>
              <w:rPr>
                <w:rFonts w:ascii="方正仿宋_GBK" w:eastAsia="方正仿宋_GBK" w:hAnsi="Times New Roman" w:hint="eastAsia"/>
                <w:sz w:val="24"/>
              </w:rPr>
              <w:t>、行业内企业积极采取措施防范安全生产责任事故和职业危害事故的发生。（2分）行业内企业从事特殊工种人员和技术人员全部持证上岗。（2分）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6</w:t>
            </w:r>
            <w:r>
              <w:rPr>
                <w:rFonts w:ascii="方正仿宋_GBK" w:eastAsia="方正仿宋_GBK" w:hAnsi="Times New Roman" w:hint="eastAsia"/>
                <w:sz w:val="24"/>
              </w:rPr>
              <w:t>、行业内企业依法参加各项社会保险，及时缴纳社会保险费。（3分）无欠缴漏缴社会保险费的情况。（2分）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7</w:t>
            </w:r>
            <w:r>
              <w:rPr>
                <w:rFonts w:ascii="方正仿宋_GBK" w:eastAsia="方正仿宋_GBK" w:hAnsi="Times New Roman" w:hint="eastAsia"/>
                <w:sz w:val="24"/>
              </w:rPr>
              <w:t>、根据行业经济特点，有针对性地开展职工技能培训、职业教育。（2分）行业内企业均组织开展岗位培训，提升职工素质。（2分）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sz w:val="24"/>
              </w:rPr>
            </w:pPr>
            <w:r>
              <w:rPr>
                <w:rFonts w:ascii="方正仿宋_GBK" w:eastAsia="方正仿宋_GBK" w:hAnsi="Times New Roman"/>
                <w:sz w:val="24"/>
                <w:lang/>
              </w:rPr>
              <w:t>8</w:t>
            </w:r>
            <w:r>
              <w:rPr>
                <w:rFonts w:ascii="方正仿宋_GBK" w:eastAsia="方正仿宋_GBK" w:hAnsi="Times New Roman" w:hint="eastAsia"/>
                <w:sz w:val="24"/>
              </w:rPr>
              <w:t>、行业内企业严格执行就业准入制度，国家规定持《职业资格证书》的工种持证率达到100%。（2分）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五、劳动关系</w:t>
            </w:r>
            <w:r>
              <w:rPr>
                <w:rFonts w:ascii="方正楷体_GBK" w:eastAsia="方正楷体_GBK" w:hAnsi="方正楷体_GBK" w:cs="方正楷体_GBK" w:hint="eastAsia"/>
                <w:sz w:val="24"/>
              </w:rPr>
              <w:lastRenderedPageBreak/>
              <w:t>矛盾调处机制建设（10分）</w:t>
            </w: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lastRenderedPageBreak/>
              <w:t>1</w:t>
            </w:r>
            <w:r>
              <w:rPr>
                <w:rFonts w:ascii="方正仿宋_GBK" w:eastAsia="方正仿宋_GBK" w:hAnsi="Times New Roman" w:hint="eastAsia"/>
                <w:sz w:val="24"/>
              </w:rPr>
              <w:t>、行业组织内部建立维权服务机制，建立行业劳动争议调解组织。（2分）建立电话、网络信箱及手机短</w:t>
            </w:r>
            <w:r>
              <w:rPr>
                <w:rFonts w:ascii="方正仿宋_GBK" w:eastAsia="方正仿宋_GBK" w:hAnsi="Times New Roman" w:hint="eastAsia"/>
                <w:sz w:val="24"/>
              </w:rPr>
              <w:lastRenderedPageBreak/>
              <w:t>信申诉等多渠道信息沟通机制、职工诉求机制与协调联动机制，能及时协调解决企业和职工合法合理的诉求，及时处理劳资矛盾。（3分）</w:t>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1018"/>
          <w:jc w:val="center"/>
        </w:trPr>
        <w:tc>
          <w:tcPr>
            <w:tcW w:w="1403" w:type="dxa"/>
            <w:vMerge/>
            <w:vAlign w:val="center"/>
          </w:tcPr>
          <w:p w:rsidR="00DF5399" w:rsidRDefault="00DF5399" w:rsidP="00A90F32">
            <w:pPr>
              <w:widowControl/>
              <w:spacing w:line="460" w:lineRule="exact"/>
              <w:rPr>
                <w:rFonts w:ascii="方正楷体_GBK" w:eastAsia="方正楷体_GBK" w:hAnsi="方正楷体_GBK" w:cs="方正楷体_GBK"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sz w:val="24"/>
                <w:lang/>
              </w:rPr>
              <w:t>2</w:t>
            </w:r>
            <w:r>
              <w:rPr>
                <w:rFonts w:ascii="方正仿宋_GBK" w:eastAsia="方正仿宋_GBK" w:hAnsi="Times New Roman" w:hint="eastAsia"/>
                <w:sz w:val="24"/>
              </w:rPr>
              <w:t>、行业内规模企业普遍建立劳动争议调解委员会和内部劳动争议协商调解机制。（5分）</w:t>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restart"/>
            <w:vAlign w:val="center"/>
          </w:tcPr>
          <w:p w:rsidR="00DF5399" w:rsidRDefault="00DF5399" w:rsidP="00A90F32">
            <w:pPr>
              <w:widowControl/>
              <w:spacing w:line="460" w:lineRule="exact"/>
              <w:rPr>
                <w:rFonts w:ascii="方正楷体_GBK" w:eastAsia="方正楷体_GBK" w:hAnsi="方正楷体_GBK" w:cs="方正楷体_GBK" w:hint="eastAsia"/>
                <w:sz w:val="24"/>
              </w:rPr>
            </w:pPr>
            <w:r>
              <w:rPr>
                <w:rFonts w:ascii="方正楷体_GBK" w:eastAsia="方正楷体_GBK" w:hAnsi="方正楷体_GBK" w:cs="方正楷体_GBK" w:hint="eastAsia"/>
                <w:sz w:val="24"/>
              </w:rPr>
              <w:t>六、一票否决项目</w:t>
            </w: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1、行业内企业当年发生恶性劳动保障违法犯罪案件。（-100分）</w:t>
            </w:r>
            <w:r>
              <w:rPr>
                <w:rFonts w:ascii="方正仿宋_GBK" w:eastAsia="方正仿宋_GBK" w:hAnsi="Times New Roman" w:hint="eastAsia"/>
                <w:sz w:val="24"/>
              </w:rPr>
              <w:tab/>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仿宋_GBK" w:eastAsia="方正仿宋_GBK" w:hAnsi="Times New Roman"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2、行业内企业当年发生重大安全责任事故或职业病危害事故。（-100分）</w:t>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仿宋_GBK" w:eastAsia="方正仿宋_GBK" w:hAnsi="Times New Roman"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3、行业内企业当年发生因恶意欠薪导致的重大集体劳动争议案件。（-100分）</w:t>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仿宋_GBK" w:eastAsia="方正仿宋_GBK" w:hAnsi="Times New Roman"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sz w:val="24"/>
              </w:rPr>
            </w:pPr>
            <w:r>
              <w:rPr>
                <w:rFonts w:ascii="方正仿宋_GBK" w:eastAsia="方正仿宋_GBK" w:hAnsi="Times New Roman" w:hint="eastAsia"/>
                <w:sz w:val="24"/>
              </w:rPr>
              <w:t>4、未开展行业集体协商、签订行业集体合同。（-100分）</w:t>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r w:rsidR="00DF5399" w:rsidTr="00A90F32">
        <w:trPr>
          <w:trHeight w:val="60"/>
          <w:jc w:val="center"/>
        </w:trPr>
        <w:tc>
          <w:tcPr>
            <w:tcW w:w="1403" w:type="dxa"/>
            <w:vMerge/>
            <w:vAlign w:val="center"/>
          </w:tcPr>
          <w:p w:rsidR="00DF5399" w:rsidRDefault="00DF5399" w:rsidP="00A90F32">
            <w:pPr>
              <w:widowControl/>
              <w:spacing w:line="460" w:lineRule="exact"/>
              <w:rPr>
                <w:rFonts w:ascii="方正仿宋_GBK" w:eastAsia="方正仿宋_GBK" w:hAnsi="Times New Roman" w:hint="eastAsia"/>
                <w:sz w:val="24"/>
              </w:rPr>
            </w:pPr>
          </w:p>
        </w:tc>
        <w:tc>
          <w:tcPr>
            <w:tcW w:w="11218" w:type="dxa"/>
            <w:tcMar>
              <w:top w:w="0" w:type="dxa"/>
              <w:left w:w="108" w:type="dxa"/>
              <w:bottom w:w="0" w:type="dxa"/>
              <w:right w:w="108" w:type="dxa"/>
            </w:tcMar>
          </w:tcPr>
          <w:p w:rsidR="00DF5399" w:rsidRDefault="00DF5399" w:rsidP="00A90F32">
            <w:pPr>
              <w:widowControl/>
              <w:spacing w:line="460" w:lineRule="exact"/>
              <w:rPr>
                <w:rFonts w:ascii="方正仿宋_GBK" w:eastAsia="方正仿宋_GBK" w:hAnsi="Times New Roman" w:hint="eastAsia"/>
                <w:sz w:val="24"/>
              </w:rPr>
            </w:pPr>
            <w:r>
              <w:rPr>
                <w:rFonts w:ascii="方正仿宋_GBK" w:eastAsia="方正仿宋_GBK" w:hAnsi="Times New Roman" w:hint="eastAsia"/>
                <w:sz w:val="24"/>
              </w:rPr>
              <w:t>5、行业内企业当年发生造成严重社会影响的群体性事件。（-100分）</w:t>
            </w:r>
            <w:r>
              <w:rPr>
                <w:rFonts w:ascii="方正仿宋_GBK" w:eastAsia="方正仿宋_GBK" w:hAnsi="Times New Roman" w:hint="eastAsia"/>
                <w:sz w:val="24"/>
              </w:rPr>
              <w:tab/>
            </w:r>
          </w:p>
        </w:tc>
        <w:tc>
          <w:tcPr>
            <w:tcW w:w="931" w:type="dxa"/>
            <w:tcMar>
              <w:top w:w="0" w:type="dxa"/>
              <w:left w:w="108" w:type="dxa"/>
              <w:bottom w:w="0" w:type="dxa"/>
              <w:right w:w="108" w:type="dxa"/>
            </w:tcMar>
          </w:tcPr>
          <w:p w:rsidR="00DF5399" w:rsidRDefault="00DF5399" w:rsidP="00A90F32">
            <w:pPr>
              <w:widowControl/>
              <w:spacing w:line="460" w:lineRule="exact"/>
              <w:jc w:val="center"/>
              <w:rPr>
                <w:rFonts w:ascii="方正仿宋_GBK" w:eastAsia="方正仿宋_GBK" w:hAnsi="Times New Roman" w:hint="eastAsia"/>
                <w:sz w:val="24"/>
              </w:rPr>
            </w:pPr>
          </w:p>
        </w:tc>
      </w:tr>
    </w:tbl>
    <w:p w:rsidR="00DF5399" w:rsidRDefault="00DF5399" w:rsidP="00DF5399">
      <w:pPr>
        <w:spacing w:line="567" w:lineRule="exact"/>
        <w:rPr>
          <w:rFonts w:ascii="方正仿宋_GBK" w:eastAsia="方正仿宋_GBK" w:hAnsi="Times New Roman" w:hint="eastAsia"/>
          <w:sz w:val="24"/>
        </w:rPr>
      </w:pPr>
    </w:p>
    <w:p w:rsidR="00DF5399" w:rsidRDefault="00DF5399" w:rsidP="00DF5399">
      <w:pPr>
        <w:spacing w:line="567" w:lineRule="exact"/>
        <w:ind w:firstLineChars="400" w:firstLine="960"/>
        <w:rPr>
          <w:rFonts w:ascii="Times New Roman" w:eastAsia="方正仿宋_GBK" w:hAnsi="Times New Roman"/>
          <w:szCs w:val="32"/>
        </w:rPr>
      </w:pPr>
      <w:r>
        <w:rPr>
          <w:rFonts w:ascii="方正仿宋_GBK" w:eastAsia="方正仿宋_GBK" w:hAnsi="Times New Roman" w:hint="eastAsia"/>
          <w:sz w:val="24"/>
        </w:rPr>
        <w:t>备注：行业自评分在80分及以上的，可向</w:t>
      </w:r>
      <w:r>
        <w:rPr>
          <w:rFonts w:ascii="方正仿宋_GBK" w:eastAsia="方正仿宋_GBK" w:hAnsi="Times New Roman"/>
          <w:sz w:val="24"/>
          <w:lang/>
        </w:rPr>
        <w:t>当地</w:t>
      </w:r>
      <w:r>
        <w:rPr>
          <w:rFonts w:ascii="方正仿宋_GBK" w:eastAsia="方正仿宋_GBK" w:hAnsi="Times New Roman" w:hint="eastAsia"/>
          <w:sz w:val="24"/>
        </w:rPr>
        <w:t>协调劳动关系三方申报和谐劳动关系行业。</w:t>
      </w:r>
    </w:p>
    <w:p w:rsidR="00DF5399" w:rsidRDefault="00DF5399" w:rsidP="00DF5399">
      <w:pPr>
        <w:spacing w:line="567" w:lineRule="exact"/>
        <w:rPr>
          <w:rFonts w:eastAsia="方正仿宋_GBK"/>
          <w:szCs w:val="32"/>
        </w:rPr>
      </w:pPr>
    </w:p>
    <w:p w:rsidR="00DF5399" w:rsidRDefault="00DF5399" w:rsidP="00DF5399"/>
    <w:p w:rsidR="00A4099F" w:rsidRPr="00DF5399" w:rsidRDefault="00A4099F"/>
    <w:sectPr w:rsidR="00A4099F" w:rsidRPr="00DF5399">
      <w:footerReference w:type="default" r:id="rId6"/>
      <w:pgSz w:w="16838" w:h="11906" w:orient="landscape"/>
      <w:pgMar w:top="1800" w:right="1440" w:bottom="1800"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099F" w:rsidRDefault="00A4099F" w:rsidP="00DF5399">
      <w:r>
        <w:separator/>
      </w:r>
    </w:p>
  </w:endnote>
  <w:endnote w:type="continuationSeparator" w:id="1">
    <w:p w:rsidR="00A4099F" w:rsidRDefault="00A4099F" w:rsidP="00DF539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Arial Unicode MS"/>
    <w:charset w:val="86"/>
    <w:family w:val="auto"/>
    <w:pitch w:val="default"/>
    <w:sig w:usb0="00000000" w:usb1="08000000" w:usb2="00000000" w:usb3="00000000" w:csb0="00040000" w:csb1="00000000"/>
  </w:font>
  <w:font w:name="方正小标宋_GBK">
    <w:altName w:val="Arial Unicode MS"/>
    <w:charset w:val="86"/>
    <w:family w:val="auto"/>
    <w:pitch w:val="default"/>
    <w:sig w:usb0="00000000" w:usb1="08000000" w:usb2="00000000" w:usb3="00000000" w:csb0="00040000" w:csb1="00000000"/>
  </w:font>
  <w:font w:name="CESI楷体-GB2312">
    <w:altName w:val="微软雅黑"/>
    <w:charset w:val="86"/>
    <w:family w:val="auto"/>
    <w:pitch w:val="default"/>
    <w:sig w:usb0="00000000" w:usb1="184F6CF8" w:usb2="00000012" w:usb3="00000000" w:csb0="0004000F" w:csb1="00000000"/>
  </w:font>
  <w:font w:name="方正黑体_GBK">
    <w:altName w:val="Arial Unicode MS"/>
    <w:charset w:val="86"/>
    <w:family w:val="auto"/>
    <w:pitch w:val="default"/>
    <w:sig w:usb0="00000000" w:usb1="08000000" w:usb2="00000000" w:usb3="00000000" w:csb0="00040000" w:csb1="00000000"/>
  </w:font>
  <w:font w:name="方正楷体_GBK">
    <w:altName w:val="Arial Unicode MS"/>
    <w:charset w:val="86"/>
    <w:family w:val="auto"/>
    <w:pitch w:val="default"/>
    <w:sig w:usb0="00000000" w:usb1="0800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A4099F">
    <w:pPr>
      <w:pStyle w:val="a4"/>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right;mso-position-horizontal-relative:margin" filled="f" stroked="f">
          <v:fill o:detectmouseclick="t"/>
          <v:textbox style="mso-fit-shape-to-text:t" inset="0,0,0,0">
            <w:txbxContent>
              <w:p w:rsidR="00000000" w:rsidRDefault="00A4099F">
                <w:pPr>
                  <w:pStyle w:val="a4"/>
                </w:pPr>
                <w:r>
                  <w:fldChar w:fldCharType="begin"/>
                </w:r>
                <w:r>
                  <w:instrText xml:space="preserve"> PAGE  \* MERGEFORMAT </w:instrText>
                </w:r>
                <w:r>
                  <w:fldChar w:fldCharType="separate"/>
                </w:r>
                <w:r w:rsidR="00DF539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099F" w:rsidRDefault="00A4099F" w:rsidP="00DF5399">
      <w:r>
        <w:separator/>
      </w:r>
    </w:p>
  </w:footnote>
  <w:footnote w:type="continuationSeparator" w:id="1">
    <w:p w:rsidR="00A4099F" w:rsidRDefault="00A4099F" w:rsidP="00DF539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399"/>
    <w:rsid w:val="00A4099F"/>
    <w:rsid w:val="00DF53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5399"/>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F539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F5399"/>
    <w:rPr>
      <w:sz w:val="18"/>
      <w:szCs w:val="18"/>
    </w:rPr>
  </w:style>
  <w:style w:type="paragraph" w:styleId="a4">
    <w:name w:val="footer"/>
    <w:basedOn w:val="a"/>
    <w:link w:val="Char0"/>
    <w:unhideWhenUsed/>
    <w:rsid w:val="00DF539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F5399"/>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339</Words>
  <Characters>1936</Characters>
  <Application>Microsoft Office Word</Application>
  <DocSecurity>0</DocSecurity>
  <Lines>16</Lines>
  <Paragraphs>4</Paragraphs>
  <ScaleCrop>false</ScaleCrop>
  <Company/>
  <LinksUpToDate>false</LinksUpToDate>
  <CharactersWithSpaces>2271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2</cp:revision>
  <dcterms:created xsi:type="dcterms:W3CDTF">2023-03-02T02:47:00Z</dcterms:created>
  <dcterms:modified xsi:type="dcterms:W3CDTF">2023-03-02T02:48:00Z</dcterms:modified>
</cp:coreProperties>
</file>