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关于对太原市高校毕业生、高技能人才来并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工作补助（贴）和本土人才能力素质提升补助发放相关问题的说明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2022年起，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太原市高校毕业生、高技能人才来并工作补助（贴）和本土人才能力素质提升补助（以下简称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人才补贴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申报工作由往年的“每年集中申报、发放”，调整为“全年申报、季度发放”。人才补贴发放工作开展以来，各审核窗口依据补贴政策及审核要点对申报信息进行认真审核、严格把关。同时，也汇总了申请人反映较为集中的政策规定不明确的情况及问题，现对其进行进一步说明。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高校毕业生来并工作补助（贴）相关问题：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规定时间内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第一份工作不符合条件，之后的工作符合条件，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是否可以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高校毕业生来并工作补助（贴）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答：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若申请人除第一份工作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后的工作也满足在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规定时间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内，其他条件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符合的情况下，可以从满足条件的工作开始申领。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高校毕业生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毕业后来并工作除户口外其他条件全部符合，超过择业期落户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是否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可以申请？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答：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第一次来并工作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开始只有一份工作，且截至目前仍在职在岗的，从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缴纳社保当月开始算起，五年内可以申请，从落户当年的一月份开始申请。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（如：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2018年1月来并工作缴纳社保，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除户口外其他条件全部符合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，则最晚需在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2022年内落户至太原，即可申领人才补贴。若2022年落户，则可以从2022年1月份开始申请补助。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因工作流动性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原因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，导致多份工作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除满足其它条件外，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若工作期满三年即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合同和社保一致的情况下，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社保累计缴纳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36个月，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且从来并工作缴纳社保起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6个月内落户或户口一直在并的，可按累计工作期满三年申领。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生活补助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已开始申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更换工作后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签订的合同是一年期的，其他条件都符合，能不能继续申领？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答：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除符合其他条件外，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劳动合同和社保一致的情况下，生活补助累计申领满36个月后不受劳动合同期限限制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高校发布的一流学科建设范畴或者一流学科建设群内的学科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是否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属于一流学科？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答：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不属于，一流学科以教育部官方发布的学科建设名单为准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从专业库中无法辨别是否属于“双一流”的学科，需按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新学科证明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模板开具相关证明。（附新学科证明模板）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5.科研院所名单如何确定？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答：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未列入科研院所名单的单位采取“谁申请，谁举证”的原则，申报时需提供科技部门对科研院所认定的相关文件和依据。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6.高校毕业生毕业当月缴纳社保算不算上学期间缴纳社保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？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（如：申请人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7月1日毕业，7月缴纳社保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答：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毕业当月缴纳社保属于上学期间缴纳社保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按照政策解释的上学期间缴纳社保六个月（含）内的，可纳入高校毕业生来并工作补助（贴）范围内。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（如：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7月1日毕业，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且从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2023年2月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缴纳社保，则计算为上学期间缴纳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个月的社保，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根据政策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解释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可纳入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高校毕业生来并工作补助（贴）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申报范围。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（如：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7月1日毕业，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且从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2023年1月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缴纳社保，则计算为上学期间缴纳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个月的社保，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根据政策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解释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不符合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高校毕业生来并工作补助（贴）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申报条件。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二、本土人才能力素质提升补助相关问题：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.2022年及以后的能力素质提升申领时间中的两年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如何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答：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在满足其他条件的前提下，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取得学历或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职业资格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证书的当月即可申领第一年的补助，从第二个月（含）开始计算满12个月后，可申领第二年的补助。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若申请人想一次性申领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2个年度的补助，则需要在取得学历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职业资格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后工作期满24个月方可申领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7月申请人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取得硕士研究生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学历学位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，则202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即可申领第一年度的补助，从202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算起，满12个月后，即202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可以申领第二年度的补助。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若一次性申领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2个年度的补助，则需在2024年7月之后才可一次性申请。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（技能提升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补助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同上）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技能提升补助是否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可以直接领取一级（高级技师）的补助？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答：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可以，若先考取二级（技师）证书，则可以申领技师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补助，再考取一级（高级技师）证书，则还可以再领取高级技师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若直接领取一级（高级技师）补助，则不可再申领二级（技师）补助。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学历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提升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补助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同上）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学历提升和技能提升落户晚于提升时间的，落户后可从符合条件的当年开始申领。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申领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学历学位提升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补助的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提升前后都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需要提供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毕业证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学位证吗？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答：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提升后的学历需要毕业证、学位证。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4.机关或事业单位在编人员学历提升要求开具干部学历认定表，机关或事业单位临聘人员无法提供干部学历认定表，能否申领学历提升补助？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答：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机关或事业单位在编人员学历提升要求开具干部学历认定表，临聘人员因其不是机关或事业单位在编人员，申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领学历提升时不需提供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干部学历认定表。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三、购房补贴相关问题：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1.购买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二手房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申领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购房补贴，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无法提供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《存量房买卖合同》，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能否提供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《不动产买卖合同》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代替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答：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购买商铺、公寓等非住宅外其它类型的房产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能否申领购房补贴？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答：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能，所购房产必须为住宅且符合其它申领条件的可申领购房补贴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夫妻双方申领购房补贴，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房产为夫妻双方所有的，谁申请补助，提供的所有申请材料必须有申请人姓名。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四、其它问题：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两委人员申领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补助时间如何确定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答：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社区党组织成员以上级党委批复文件为依据，社区居民委员会成员以当选证为依据。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从2018年1月起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当选的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社区党组织成员、居民委员会成员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在符合条件的情况下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相关补助。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在社保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缴纳时间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和当选证时间一致的情况下，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申领开始时间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从当选证上登记的时间开始算起，如果不一致，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申领开始时间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以两者较晚的时间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算起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申请人目前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已取得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非全日制研究生学历，本科毕业后一直在并工作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缴纳社保，能否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同时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以本科身份申领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高校毕业生来并工作补助（贴）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以研究生身份申领本土人才能力素质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提升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补助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答：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若申请人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本科时符合高校毕业生来并工作补助（贴）相关条件，且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在符合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本土人才能力素质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补助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条件下完成学历提升，可以同时申请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高校毕业生来并工作补助（贴）和本土人才能力素质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补助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3.中外合办高校的毕业生，只有国外学历没有国内学历，能否申领补助？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643" w:firstLineChars="200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答：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中外合办高校的毕业生以国内学历申领，没有国内学历的，不符合申报条件，不能申报。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4.补缴社保是否符合申领人才补助的条件？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答：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之前符合申领条件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highlight w:val="white"/>
          <w14:textFill>
            <w14:solidFill>
              <w14:schemeClr w14:val="tx1"/>
            </w14:solidFill>
          </w14:textFill>
        </w:rPr>
        <w:t>已领取过补贴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highlight w:val="white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因补缴社保导致不符合条件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，不可继续申领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因补缴社保才能满足申领条件的，判断条件及申领资格具体如下：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情况一：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社保存在短时间断缴，之后连续一次性补缴才满足申领条件的，可以申领。（如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2022年1-11月未缴纳，12月份缴纳1-12月的社保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）最长时间断缴的连续时间限制为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11个月，且补缴当月与断缴月份须为连续月份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情况二：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社保存在长时间断缴，连续一次性补缴才满足申领条件的，即连续补缴月数超过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11个月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，不可申领。（如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2021年1-12月未缴纳，2022年1月补缴2021年1-12月及2022年一月份的社保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情况三：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社保存在阶段性断缴后正常缴纳，之后再一次性补缴正常缴纳社保之前的社保，即跳过正常缴纳保险月份补缴之前的保险才满足申领条件的，不可申领。（如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2018年毕业，2021年12月份社保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未缴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，2022年1月份社保正常缴纳，2022年2月份补缴2021年12月份社保，则不可申领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情况四：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社保存在跨年补缴才满足申领条件的，参考情况一、情况二，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highlight w:val="white"/>
          <w14:textFill>
            <w14:solidFill>
              <w14:schemeClr w14:val="tx1"/>
            </w14:solidFill>
          </w14:textFill>
        </w:rPr>
        <w:t>最长补缴月数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highlight w:val="white"/>
          <w:lang w:eastAsia="zh-CN"/>
          <w14:textFill>
            <w14:solidFill>
              <w14:schemeClr w14:val="tx1"/>
            </w14:solidFill>
          </w14:textFill>
        </w:rPr>
        <w:t>累计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w w:val="100"/>
          <w:sz w:val="32"/>
          <w:highlight w:val="white"/>
          <w14:textFill>
            <w14:solidFill>
              <w14:schemeClr w14:val="tx1"/>
            </w14:solidFill>
          </w14:textFill>
        </w:rPr>
        <w:t>不得超过11个月，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补缴当月与断缴月份须为连续月份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rPr>
          <w:rFonts w:hint="eastAsia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</w:p>
    <w:p>
      <w:pPr>
        <w:jc w:val="center"/>
        <w:rPr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学科证明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我院（校）XXX届毕业生XXX，身份证号：XXXXXX，专业：XXXXX，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专业代码：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XXXXXX，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根据教研函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2号和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1号文件内容，该生所学专业是我校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一流建设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学科“XXXXX”一级学科下的二级学科。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特此证明。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学校联系人：XXX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学校联系电话：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XXXX-XXXXXXX </w:t>
      </w:r>
    </w:p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0" w:firstLineChars="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                           XXXXXX（学校公章）                                                           XXX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URW Bookman">
    <w:altName w:val="Segoe Print"/>
    <w:panose1 w:val="00000400000000000000"/>
    <w:charset w:val="00"/>
    <w:family w:val="auto"/>
    <w:pitch w:val="default"/>
    <w:sig w:usb0="00000000" w:usb1="00000000" w:usb2="00000000" w:usb3="00000000" w:csb0="6000009F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9C6C8"/>
    <w:multiLevelType w:val="singleLevel"/>
    <w:tmpl w:val="63D9C6C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82456"/>
    <w:rsid w:val="0E177E45"/>
    <w:rsid w:val="0F4615ED"/>
    <w:rsid w:val="10892097"/>
    <w:rsid w:val="14DF639B"/>
    <w:rsid w:val="193C06EA"/>
    <w:rsid w:val="21461AF9"/>
    <w:rsid w:val="22481995"/>
    <w:rsid w:val="26E06BD3"/>
    <w:rsid w:val="281603D9"/>
    <w:rsid w:val="3A752BDE"/>
    <w:rsid w:val="3D973D17"/>
    <w:rsid w:val="4106525C"/>
    <w:rsid w:val="43A82456"/>
    <w:rsid w:val="44CD0E4E"/>
    <w:rsid w:val="49EF184C"/>
    <w:rsid w:val="4D4531C4"/>
    <w:rsid w:val="51A669F7"/>
    <w:rsid w:val="545B4C81"/>
    <w:rsid w:val="548A4687"/>
    <w:rsid w:val="593079CF"/>
    <w:rsid w:val="5A093ED9"/>
    <w:rsid w:val="5B30452F"/>
    <w:rsid w:val="5D072B3B"/>
    <w:rsid w:val="66A007A9"/>
    <w:rsid w:val="6C26790C"/>
    <w:rsid w:val="6DC57B76"/>
    <w:rsid w:val="6EEC450C"/>
    <w:rsid w:val="776834AC"/>
    <w:rsid w:val="7C052DAC"/>
    <w:rsid w:val="7D42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customStyle="1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2023-01-13T02:46:00Z</dcterms:created>
  <dc:creator>Administrator</dc:creator>
  <cp:lastModifiedBy>Administrator</cp:lastModifiedBy>
  <cp:lastPrinted>2023-01-16T03:19:00Z</cp:lastPrinted>
  <dcterms:modified xsi:type="dcterms:W3CDTF">2023-02-08T03:26:09Z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