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附件2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  <w:lang w:val="en-US" w:eastAsia="zh-CN"/>
        </w:rPr>
        <w:t>“企业创新积分制”工作人员联络表</w:t>
      </w:r>
    </w:p>
    <w:tbl>
      <w:tblPr>
        <w:tblStyle w:val="7"/>
        <w:tblW w:w="9250" w:type="dxa"/>
        <w:jc w:val="center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66"/>
        <w:gridCol w:w="2480"/>
        <w:gridCol w:w="189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0" w:type="dxa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66" w:type="dxa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480" w:type="dxa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单位（部门）</w:t>
            </w:r>
          </w:p>
        </w:tc>
        <w:tc>
          <w:tcPr>
            <w:tcW w:w="1894" w:type="dxa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410" w:type="dxa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…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22"/>
          <w:szCs w:val="22"/>
          <w:highlight w:val="none"/>
          <w:lang w:val="en-US" w:eastAsia="zh-CN" w:bidi="ar-SA"/>
        </w:rPr>
        <w:t>注：请填写一名处级干部和一名具体经办人员。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573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4322B"/>
    <w:rsid w:val="2E1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2022-09-26T03:22:00Z</dcterms:created>
  <dc:creator>Administrator</dc:creator>
  <cp:lastModifiedBy>Administrator</cp:lastModifiedBy>
  <dcterms:modified xsi:type="dcterms:W3CDTF">2022-09-26T03:23:14Z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