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附件6：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color w:val="000000"/>
          <w:kern w:val="2"/>
          <w:sz w:val="44"/>
          <w:szCs w:val="44"/>
          <w:lang w:val="en-US" w:eastAsia="zh-CN" w:bidi="ar-SA"/>
        </w:rPr>
        <w:t>忻州市科技战略研究专项管理办法</w:t>
      </w:r>
    </w:p>
    <w:p>
      <w:pPr>
        <w:rPr>
          <w:rFonts w:hint="default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第一章  总  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为规范和加强忻州市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科技战略研究专项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管理，建立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科技政策和战略研究符合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科技创新规律的项目管理机制，根据《忻州市科技计划项目管理办法》（忻政办发〔2021〕113号）等有关规定，制定本办法。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忻州市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科技战略研究专项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面向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科技发展的决策、组织和管理问题，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实现科技决策科学化、民主化和治理现代化为宗旨，开展前瞻性、战略性和针对性研究，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破解科技决策和管理实践中面临的复杂性、系统性难题，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忻州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创新驱动发展提供决策咨询与智力支持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市科技</w:t>
      </w:r>
      <w:r>
        <w:rPr>
          <w:rFonts w:hint="eastAsia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科技战略研究</w:t>
      </w:r>
      <w:r>
        <w:rPr>
          <w:rFonts w:hint="eastAsia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管理过程中履行以下职责：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（一）制定发布年度项目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（二）受理项目申请；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（三）组织项目评审；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（四）批准项目立项、监督项目实施；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（五）组织项目验收并开展绩效评估。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申报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与立项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科技战略研究专项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分为重点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和一般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两类。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重点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是指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委、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政府对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全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科技和经济社会创新发展的安排部署要求解决的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科技战略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研究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，以及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委、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政府工作部门、各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县（市、区）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针对行业、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县域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科技、经济、社会发展情况，迫切需要开展的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科技战略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研究任务。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ind w:firstLine="642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一般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是指根据《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忻州市科技战略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研究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专项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申报指南》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所列领域自由选题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申报，经评审确定的研究任务。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 项目申报应符合以下基本条件：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ED7D31" w:themeColor="accent2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单位应当是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忻州市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依法注册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，拥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有独立法人资格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具有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政策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</w:rPr>
        <w:t>研究能力的</w:t>
      </w:r>
      <w:r>
        <w:rPr>
          <w:rStyle w:val="12"/>
          <w:rFonts w:hint="eastAsia" w:ascii="Times New Roman" w:hAnsi="Times New Roman" w:eastAsia="仿宋_GB2312" w:cs="Times New Roman"/>
          <w:sz w:val="32"/>
          <w:szCs w:val="32"/>
          <w:lang w:eastAsia="zh-CN"/>
        </w:rPr>
        <w:t>企事业单位（包括省驻忻企事业单位），或者是经市委、市政府批准设立的其他研发机构、社会组织以及党政机关等。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lang w:eastAsia="zh-CN"/>
        </w:rPr>
        <w:t>项目承担单位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应具有开展科研活动的基础，有与项目实施相匹配的人才和技术装备等条件，有研发经费投入、健全的科研管理制度和财务管理制度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鼓励产学研联合申报。两家及两家以上单位联合申请的项目，应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Style w:val="12"/>
          <w:rFonts w:hint="default" w:ascii="Times New Roman" w:hAnsi="Times New Roman" w:eastAsia="仿宋_GB2312" w:cs="Times New Roman"/>
          <w:sz w:val="32"/>
          <w:szCs w:val="32"/>
        </w:rPr>
        <w:t>项目合作协议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，明确任务分工、成果及知识产权归属和利益分配等事项；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（四）项目负责人应具有较高的学术水平和开拓创新意识、较强的组织协调能力；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（五）项目申报单位、参与单位、项目组成员应具有良好的信誉；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（六）项目实施期限一般不超过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（七）项目申报指南里明确的其他条件。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第六条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申报项目应提供以下材料：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（一）忻州市科技计划项目申报书（系统生成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项目申报单位统一社会信用代码证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或营业执照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106" w:rightChars="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按要求提供必要的资质证明、前期研究成果、合作协议等支撑材料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项目可行性研究报告；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（五）满足申报要求的其它印证资料。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第三章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eastAsia="zh-CN"/>
        </w:rPr>
        <w:t>实施与验收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第七条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32"/>
          <w:szCs w:val="32"/>
          <w:shd w:val="clear" w:color="auto" w:fill="FFFFFF"/>
          <w:lang w:eastAsia="zh-CN"/>
        </w:rPr>
        <w:t>科技战略研究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项目实施期间，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负责人可以在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不改变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研究方向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不降低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指标的前提下调整研究方案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技术路线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、项目组成员。经项目承担单位审核同意后报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备案。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第八条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直接经费中设备费的调整，由项目负责人提出申请，项目承担单位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在接到申请后５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个工作日内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审批。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其他费用调剂由项目负责人根据科研项目实际自主安排。预算经费调整情况应在验收材料中提供。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第九条  项目承担单位应及时申报项目验收。研究目标任务提前完成的项目，可以提前验收。因故未完成目标任务的项目可申请延期，延期时间原则上不超过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第十条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项目验收应提交以下材料：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（一）市级科技计划项目验收证书； 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（二）忻州市科技计划项目任务书； 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（三）项目工作总结和项目经费决算报告。工作总结主要包括项目实施情况、项目目标和绩效指标完成情况、主要成果和成效等内容。项目经费决算报告主要包括财政经费、自筹经费实际到位和使用情况；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before="0" w:beforeAutospacing="0" w:after="0" w:afterAutospacing="0" w:line="600" w:lineRule="exac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相关附件证明材料。围绕项目任务书中的考核指标，提供完成情况的证明，如论文、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研究报告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或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</w:rPr>
        <w:t>政策建议专报</w:t>
      </w:r>
      <w:r>
        <w:rPr>
          <w:rStyle w:val="11"/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（五）其它验收需提供的资料。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 监督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第十一条  项目承担单位应当按照相关财经法规及财务管理规定，完善内部控制和监督制约机制，加强对项目经费的监督和管理，保证经费专款专用，并对项目经费实施单独核算。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第五章  附  则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第十二条  本办法自印发之日起施行。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szGsK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A00B1D"/>
    <w:multiLevelType w:val="singleLevel"/>
    <w:tmpl w:val="62A00B1D"/>
    <w:lvl w:ilvl="0" w:tentative="0">
      <w:start w:val="5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DF62E"/>
    <w:rsid w:val="0DDDF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11">
    <w:name w:val="bumpedfont15"/>
    <w:qFormat/>
    <w:uiPriority w:val="0"/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2022-06-14T08:54:00Z</dcterms:created>
  <dc:creator>kylin</dc:creator>
  <cp:lastModifiedBy>kylin</cp:lastModifiedBy>
  <dcterms:modified xsi:type="dcterms:W3CDTF">2022-06-14T08:55:06Z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