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  <w:t>附件5：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忻州市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创新人才团队专项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管理办法</w:t>
      </w:r>
    </w:p>
    <w:p>
      <w:pPr>
        <w:pStyle w:val="2"/>
        <w:rPr>
          <w:rFonts w:hint="eastAsia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157" w:afterLines="5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9"/>
          <w:rFonts w:hint="default" w:ascii="Times New Roman" w:hAnsi="Times New Roman" w:eastAsia="黑体" w:cs="Times New Roman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第一章  总  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第一条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为规范忻州市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创新人才团队专项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管理，加快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创新创业人才集聚，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大力推动人才工作提质增效，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根据《忻州市科技计划项目管理办法》（忻政办发〔2021〕113号）等有关规定，制定本办法。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第二条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团队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通过我市企业、科研院所、研发机构等本身所具有的研发力量，吸引省内外相关领域或学科的创新人才，共同组建创新人才团队。所引进的人才需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具备先进的技术水平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和学术造诣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，符合我市经济和社会发展需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，预期能为我市带来重大经济效益和社会效益，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与我市高端人才或团队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合作开展科技创新活动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第三条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市科技</w:t>
      </w:r>
      <w:r>
        <w:rPr>
          <w:rFonts w:hint="eastAsia" w:eastAsia="仿宋_GB2312" w:cs="Times New Roman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eastAsia" w:eastAsia="仿宋_GB2312" w:cs="Times New Roman"/>
          <w:sz w:val="32"/>
          <w:szCs w:val="32"/>
          <w:lang w:eastAsia="zh-CN"/>
        </w:rPr>
        <w:t>创新人才团队专项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管理过程中履行以下职责：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（一）制定发布年度项目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指南；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（二）受理项目申请；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（三）组织项目评审；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（四）批准项目立项、监督项目实施；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（五）组织项目验收并开展绩效评估。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第二章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  支持方向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tabs>
          <w:tab w:val="left" w:pos="8400"/>
        </w:tabs>
        <w:kinsoku/>
        <w:wordWrap/>
        <w:overflowPunct/>
        <w:topLinePunct w:val="0"/>
        <w:autoSpaceDE/>
        <w:bidi w:val="0"/>
        <w:snapToGrid/>
        <w:spacing w:before="0" w:beforeAutospacing="0" w:after="75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第四条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重点支持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我市高层次人才组建本领域创新人才团队，针对我市亟需解决的卡脖子技术、学术研究前沿或产业升级等开展合作研究和技术攻关，解决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关键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技术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难题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带动一批产业技术升级、推进一批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服务提升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引领相关领域科技研发和创新提档升级。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bidi w:val="0"/>
        <w:snapToGrid/>
        <w:spacing w:before="0" w:beforeAutospacing="0" w:after="75" w:afterAutospacing="0" w:line="600" w:lineRule="exact"/>
        <w:ind w:right="0" w:righ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第五条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团队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坚持引进和培育并重，遵循公平、公正、公开原则，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旨在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营造激励创新、宽容失败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创新创业氛围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，为我市科技人才提供强有力的团队支撑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1050" w:leftChars="500" w:right="0" w:rightChars="0" w:firstLine="1440" w:firstLineChars="45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 xml:space="preserve"> 第三章    申报与立项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第六条  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申报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单位应当是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忻州市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依法注册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有独立法人资格的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企事业单位（包括省驻忻企事业单位），重点支持高等院校、科研院所、医疗机构、产业联盟等拥有</w:t>
      </w:r>
      <w:r>
        <w:rPr>
          <w:rFonts w:hint="eastAsia" w:eastAsia="仿宋_GB2312" w:cs="Times New Roman"/>
          <w:sz w:val="32"/>
          <w:szCs w:val="32"/>
          <w:lang w:eastAsia="zh-CN"/>
        </w:rPr>
        <w:t>高端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人才</w:t>
      </w:r>
      <w:r>
        <w:rPr>
          <w:rFonts w:hint="eastAsia" w:eastAsia="仿宋_GB2312" w:cs="Times New Roman"/>
          <w:sz w:val="32"/>
          <w:szCs w:val="32"/>
          <w:lang w:eastAsia="zh-CN"/>
        </w:rPr>
        <w:t>的单位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项目申报单位应具有开展科研活动的基础，有与项目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及实施内容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相匹配的人才和技术装备等条件。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项目申报单位须科研诚信记录良好，对承担科技计划项目逾期未验收的单位不予支持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创新人才团队需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项目申报单位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1名团队带头人和不少于2名核心成员组成，团队带头人应拥有业内公认的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学术水平，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团队成员之间已经具备良好的合作基础。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（五）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项目所引进的人才需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本领域、本行业内领先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的技术水平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和学术造诣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，已经掌握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或拥有一定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的创新成果，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研究方向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具有优良的产业化前景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符合我市经济和社会发展需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，具有重大创新价值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预期能为我市带来重大经济和社会效益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（六）组建的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创新人才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团队必须在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项目申报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单位开展符合我市产业发展方向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或学术需求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的科技创新活动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，双方需签订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合作协议。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（七）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申报项目实施周期一般不超过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（八）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可行性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报告要明确以下内容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创新人才团队合作的必要性和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合理性，技术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研发或学术研究状况等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创新人才团队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的阶段实施目标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和预期效果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等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项目投资预算包括申请资金与自筹资金的具体来源和使用计划</w:t>
      </w:r>
      <w:r>
        <w:rPr>
          <w:rFonts w:hint="eastAsia" w:eastAsia="仿宋_GB2312" w:cs="Times New Roman"/>
          <w:color w:val="00000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4、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经济和社会效益分析。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snapToGrid/>
        <w:spacing w:line="600" w:lineRule="exact"/>
        <w:ind w:firstLine="640" w:firstLineChars="200"/>
        <w:textAlignment w:val="auto"/>
        <w:rPr>
          <w:rStyle w:val="10"/>
          <w:rFonts w:hint="default" w:ascii="Times New Roman" w:hAnsi="Times New Roman" w:eastAsia="仿宋_GB2312" w:cs="Times New Roman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eastAsia="zh-CN"/>
        </w:rPr>
        <w:t>第七条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需提交的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</w:rPr>
        <w:t>基本材料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Style w:val="10"/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Style w:val="10"/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忻州市科技计划项目申报书（系统生成）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 w:val="0"/>
        <w:bidi w:val="0"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项目可行性研究报告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beforeAutospacing="0" w:after="0" w:afterAutospacing="0" w:line="600" w:lineRule="exact"/>
        <w:ind w:right="106" w:righ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项目申报单位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统一社会信用代码证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书或营业执照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beforeAutospacing="0" w:after="0" w:afterAutospacing="0" w:line="600" w:lineRule="exact"/>
        <w:ind w:right="106" w:rightChars="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项目负责人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及团队成员的学历学位证明、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专业技能证书或其它能反映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团队成员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科研能力的相关材料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beforeAutospacing="0" w:after="0" w:afterAutospacing="0" w:line="600" w:lineRule="exact"/>
        <w:ind w:right="448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（五）项目申报单位与引进人才的合作协议；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/>
        <w:spacing w:before="0" w:beforeAutospacing="0" w:after="0" w:afterAutospacing="0" w:line="600" w:lineRule="exact"/>
        <w:ind w:right="106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（六）项目团队所拥有的技术成果、学术研究成果等相关证明材料。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第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章  监督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与管理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0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第八条  项目承担单位应当按照相关财经法规及财务管理规定，完善内部控制和监督制约机制，加强对项目经费的监督和管理，保证经费专款专用，并对项目经费实施单独核算。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ind w:left="0"/>
        <w:jc w:val="center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第五章  附  则</w:t>
      </w:r>
    </w:p>
    <w:p>
      <w:pPr>
        <w:keepNext w:val="0"/>
        <w:keepLines w:val="0"/>
        <w:pageBreakBefore w:val="0"/>
        <w:widowControl/>
        <w:tabs>
          <w:tab w:val="left" w:pos="12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第九条 </w:t>
      </w:r>
      <w:r>
        <w:rPr>
          <w:rFonts w:hint="eastAsia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本办法自印发之日起施行。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 w:val="0"/>
          <w:color w:val="000000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moder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DAE29E3"/>
    <w:rsid w:val="EDAE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next w:val="5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2022-06-14T08:53:00Z</dcterms:created>
  <dc:creator>kylin</dc:creator>
  <cp:lastModifiedBy>kylin</cp:lastModifiedBy>
  <dcterms:modified xsi:type="dcterms:W3CDTF">2022-06-14T08:54:15Z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