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忻州市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重点研发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计划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  <w:lang w:eastAsia="zh-CN"/>
        </w:rPr>
        <w:t>管理办法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第一章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>总  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第一条  为规范和加强忻州市重点研发计划项目管理，根据《忻州市科技计划项目管理办法》（忻政办发〔2021〕113号）等有关规定，制定本办法。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第二条  本办法所称重点研发计划是围绕全市经济和社会发展创新需求，面向高新技术产业、农业现代化和社会民生领域开展的重点社会公益性研究、前瞻性科学研究、共性关键技术研究和产品研发。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第三条  重点研发计划项目遵循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市场导向、科学布局、聚焦需求、规范高效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的原则，聚焦市委、市政府重大战略决策部署，鼓励全市从事科技活动的各类创新主体自主选题申报。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第二章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支持方向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第四条  重点研发计划分为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高新技术领域、农业领域、和社会发展领域。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jc w:val="left"/>
        <w:textAlignment w:val="auto"/>
        <w:rPr>
          <w:rStyle w:val="9"/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高新技术领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  <w:lang w:eastAsia="zh-CN"/>
        </w:rPr>
        <w:t>域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主要围绕我市八大标志性引领性产业集群等重点领域，面向科技前沿和我市重大战略需求，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推动产业核心关键技术攻关，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促进重大技术迭代创新，提高装备制造智能化、数字化水平，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提升产业基础能力和产业现代化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水平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  <w:lang w:eastAsia="zh-CN"/>
        </w:rPr>
        <w:t>，培育战略性新兴产业，开展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关键核心技术、共性技术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及其产品的研究、开发、生产和技术服务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第六条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农业领域主要围绕我市农产品精深加工六大产业集群建设、小杂粮全产业链开发、有机旱作农业建设、农业机械化发展、设施农业提质增效、优势林果资源高效生产、重大疫病防控与病虫害防治、主要农作物抗逆优质种质资源创新与发掘等领域，开展新产品、新技术、新工艺的研究、开发、应用和示范推广等科技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第七条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社会发展领域主要围绕我市公共安全、生态环境保护、医药卫生、中医药现代化以及全民健身、健康养老、残疾人康复、智慧城市建设等民生领域、社会保障领域、公共服务领域开展相关技术及产品的研发与推广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第三章  申报要求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第八条  项目申报应符合以下基本条件：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（一）项目承担单位应为在我市行政区域内注册一年以上、具有独立法人资格的企事业单位，包括省驻忻企事业单位、民办科研机构、专业合作社</w:t>
      </w:r>
      <w:r>
        <w:rPr>
          <w:rFonts w:hint="eastAsia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  <w:lang w:eastAsia="zh-CN"/>
        </w:rPr>
        <w:t>项目承担单位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应具有开展科研活动的基础，有与项目实施相匹配的人才和技术装备等条件，有研发经费投入、健全的科研管理制度和财务管理制度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鼓励产学研联合申报。联合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的项目，应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Style w:val="9"/>
          <w:rFonts w:hint="default" w:ascii="Times New Roman" w:hAnsi="Times New Roman" w:eastAsia="仿宋_GB2312" w:cs="Times New Roman"/>
          <w:sz w:val="32"/>
          <w:szCs w:val="32"/>
        </w:rPr>
        <w:t>项目合作协议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，明确任务分工、成果及知识产权归属和利益分配等事项；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（四）项目负责人应具有较高的学术水平和开拓创新意识、较强的组织协调能力；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（五）项目承担单位、参与单位、项目组成员具有良好的信誉；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（六）项目实施期限一般不超过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年；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（七）申报通知指南里明确的其他条件。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第九条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申报项目应提供以下材料：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忻州市科技计划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项目申报书；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（二）项目可行性研究报告；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-94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按要求提供必要的资质证明、前期研究成果、合作协议等支撑材料。企业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及合作社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需提供上一年度财务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报表；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448" w:right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（四）满足申报要求的其它印证资料。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>第四章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eastAsia="zh-CN"/>
        </w:rPr>
        <w:t xml:space="preserve"> 实施与验收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第十条</w:t>
      </w:r>
      <w:r>
        <w:rPr>
          <w:rFonts w:hint="default" w:ascii="Times New Roman" w:hAnsi="Times New Roman" w:eastAsia="仿宋" w:cs="Times New Roman"/>
          <w:color w:val="000000"/>
          <w:spacing w:val="8"/>
          <w:sz w:val="32"/>
          <w:szCs w:val="32"/>
          <w:shd w:val="clear" w:color="auto" w:fill="FFFFFF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科研项目实施期间，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负责人可以在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不改变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研究方向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不降低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考核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指标的前提下调整研究方案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技术路线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、项目组成员。经项目承担单位审核同意后报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科技局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备案。</w:t>
      </w:r>
    </w:p>
    <w:p>
      <w:pPr>
        <w:keepNext w:val="0"/>
        <w:keepLines w:val="0"/>
        <w:pageBreakBefore w:val="0"/>
        <w:widowControl w:val="0"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第十一条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直接经费中设备费的调整，由项目负责人提出申请，项目承担单位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在接到申请后５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个工作日内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审批。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其他费用调剂由项目负责人根据科研项目实际自主安排。预算经费调整情况应在验收材料中提供。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第十二条  项目承担单位提前完成研究目标任务的，可以提前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提出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项目验收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申请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。因故未完成目标任务的项目可申请延期，延期时间原则上不超过</w:t>
      </w:r>
      <w:r>
        <w:rPr>
          <w:rFonts w:hint="eastAsia" w:eastAsia="仿宋_GB2312" w:cs="Times New Roman"/>
          <w:kern w:val="0"/>
          <w:sz w:val="32"/>
          <w:szCs w:val="32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ar"/>
        </w:rPr>
        <w:t>年。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第十三条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项目验收应提交以下材料：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（一）市级科技计划项目验收证书； 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（二）忻州市科技计划项目任务书； 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（三）项目工作总结和项目经费决算报告。工作总结主要包括项目实施情况、项目目标和考核指标完成情况、主要成果和成效等内容。项目经费决算报告主要包括财政经费、自筹经费实际到位和使用情况；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相关附件证明材料。围绕项目任务书中的考核指标，提供完成情况的证明，如成果、专利、标准、论文、推广应用证明等；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Autospacing="0" w:after="0" w:afterAutospacing="0" w:line="60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（五）其它验收需提供的资料。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章  监督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与管理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第十四条  项目承担单位应当按照相关财经法规及财务管理规定，完善内部控制和监督制约机制，加强对项目经费的监督和管理，保证经费专款专用，并对项目经费实施单独核算。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第六章  附  则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第十五条  本办法自印发之日起施行。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6FD1A50"/>
    <w:rsid w:val="E6FD1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next w:val="5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2022-06-14T08:52:00Z</dcterms:created>
  <dc:creator>kylin</dc:creator>
  <cp:lastModifiedBy>kylin</cp:lastModifiedBy>
  <dcterms:modified xsi:type="dcterms:W3CDTF">2022-06-14T08:53:06Z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