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/>
        <w:textAlignment w:val="auto"/>
        <w:rPr>
          <w:rFonts w:hint="default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firstLine="723" w:firstLineChars="200"/>
        <w:jc w:val="center"/>
        <w:textAlignment w:val="auto"/>
        <w:rPr>
          <w:rFonts w:hint="eastAsia" w:ascii="仿宋" w:hAnsi="仿宋" w:eastAsia="仿宋"/>
          <w:b/>
          <w:bCs/>
          <w:color w:val="auto"/>
          <w:sz w:val="36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28"/>
          <w:lang w:val="en-US" w:eastAsia="zh-CN"/>
        </w:rPr>
        <w:t>X X X科技厅（委、局）2020年度技术先进型服务企业认定备案管理工作总结报告撰写提纲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总体要求：以习近平新时代中国特色社会主义思想为指导，坚持新发展理念，深化改革、创新驱动，推动技术先进型服务企业高质量发展。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 xml:space="preserve">    一、2020年度技术先进型服务企业发展总体概况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从辖区企业概况、经济概况、免税情况、科研投入情况、科技活动情况、自主创新情况等方面进行介绍。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二、2020年度技术先进型服务企业发展的成效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从企业成效（营业收入情况、税收情况、利润情况、出口创汇情况）、技术创新成效（新产品研发情况、关键技术突破情况）等方面详细介绍2020年度技术先进型服务企业发展的成效。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三、2020年度技术先进型服务企业建设的主要政策措施情况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从推动产业结构优化升级、关键技术突破、人才引进等方面详细介绍2020年度为推动技术先进型服务企业高质量发展所制定的政策。（可附表）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四、制约技术先进型服务企业高质量发展的主要问题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五、2021年度主要工作安排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1280" w:leftChars="457" w:hanging="320" w:hangingChars="1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1280" w:leftChars="457" w:hanging="320" w:hangingChars="1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1280" w:leftChars="457" w:hanging="320" w:hangingChars="1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工作总结不少于3000字。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1280" w:leftChars="457" w:hanging="320" w:hangingChars="100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  <w:t>请附本部门技术先进型服务企业主要负责人和联系人联系方式。</w:t>
      </w:r>
    </w:p>
    <w:tbl>
      <w:tblPr>
        <w:tblStyle w:val="4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4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357"/>
        <w:jc w:val="lef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A0D"/>
    <w:multiLevelType w:val="singleLevel"/>
    <w:tmpl w:val="1AE74A0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021F4"/>
    <w:rsid w:val="4190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2021-08-27T08:09:00Z</dcterms:created>
  <dc:creator>Administrator</dc:creator>
  <cp:lastModifiedBy>Administrator</cp:lastModifiedBy>
  <dcterms:modified xsi:type="dcterms:W3CDTF">2021-08-27T08:09:24Z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